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923925</wp:posOffset>
                </wp:positionV>
                <wp:extent cx="5742305" cy="986790"/>
                <wp:effectExtent l="4445" t="4445" r="6350" b="18415"/>
                <wp:wrapSquare wrapText="bothSides"/>
                <wp:docPr id="1" name="文本框 1"/>
                <wp:cNvGraphicFramePr/>
                <a:graphic xmlns:a="http://schemas.openxmlformats.org/drawingml/2006/main">
                  <a:graphicData uri="http://schemas.microsoft.com/office/word/2010/wordprocessingShape">
                    <wps:wsp>
                      <wps:cNvSpPr txBox="1"/>
                      <wps:spPr>
                        <a:xfrm>
                          <a:off x="903605" y="914400"/>
                          <a:ext cx="5742305" cy="986790"/>
                        </a:xfrm>
                        <a:prstGeom prst="rect">
                          <a:avLst/>
                        </a:prstGeom>
                        <a:noFill/>
                        <a:ln w="9525" cap="flat" cmpd="sng">
                          <a:solidFill>
                            <a:srgbClr val="000000"/>
                          </a:solidFill>
                          <a:prstDash val="dash"/>
                          <a:miter/>
                          <a:headEnd type="none" w="med" len="med"/>
                          <a:tailEnd type="none" w="med" len="med"/>
                        </a:ln>
                        <a:effectLst/>
                      </wps:spPr>
                      <wps:txbx>
                        <w:txbxContent>
                          <w:p>
                            <w:pPr>
                              <w:autoSpaceDE w:val="0"/>
                              <w:autoSpaceDN w:val="0"/>
                              <w:adjustRightInd w:val="0"/>
                              <w:snapToGrid w:val="0"/>
                              <w:spacing w:line="288" w:lineRule="auto"/>
                              <w:rPr>
                                <w:rFonts w:ascii="仿宋" w:hAnsi="仿宋" w:eastAsia="仿宋" w:cs="仿宋"/>
                                <w:b/>
                                <w:sz w:val="24"/>
                              </w:rPr>
                            </w:pPr>
                            <w:r>
                              <w:rPr>
                                <w:rFonts w:hint="eastAsia" w:ascii="仿宋" w:hAnsi="仿宋" w:eastAsia="仿宋" w:cs="仿宋"/>
                                <w:b/>
                                <w:sz w:val="24"/>
                              </w:rPr>
                              <w:t>重要提示：</w:t>
                            </w:r>
                          </w:p>
                          <w:p>
                            <w:pPr>
                              <w:autoSpaceDE w:val="0"/>
                              <w:autoSpaceDN w:val="0"/>
                              <w:adjustRightInd w:val="0"/>
                              <w:snapToGrid w:val="0"/>
                              <w:spacing w:line="288" w:lineRule="auto"/>
                              <w:ind w:firstLine="482" w:firstLineChars="200"/>
                            </w:pPr>
                            <w:r>
                              <w:rPr>
                                <w:rFonts w:hint="eastAsia" w:ascii="仿宋" w:hAnsi="仿宋" w:eastAsia="仿宋" w:cs="仿宋"/>
                                <w:b/>
                                <w:sz w:val="24"/>
                              </w:rPr>
                              <w:t xml:space="preserve">尊敬的客户，为了维护您的权益，请您在签署本须知前认真阅读本须知全文，尤其是加黑加粗条款。如有疑义，请及时要求我行予以说明。 </w:t>
                            </w:r>
                          </w:p>
                        </w:txbxContent>
                      </wps:txbx>
                      <wps:bodyPr wrap="square" upright="1"/>
                    </wps:wsp>
                  </a:graphicData>
                </a:graphic>
              </wp:anchor>
            </w:drawing>
          </mc:Choice>
          <mc:Fallback>
            <w:pict>
              <v:shape id="_x0000_s1026" o:spid="_x0000_s1026" o:spt="202" type="#_x0000_t202" style="position:absolute;left:0pt;margin-top:72.75pt;height:77.7pt;width:452.15pt;mso-position-horizontal:center;mso-position-horizontal-relative:margin;mso-position-vertical-relative:page;mso-wrap-distance-bottom:3.6pt;mso-wrap-distance-left:9pt;mso-wrap-distance-right:9pt;mso-wrap-distance-top:3.6pt;z-index:251659264;mso-width-relative:page;mso-height-relative:page;" filled="f" stroked="t" coordsize="21600,21600" o:gfxdata="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BGhxxPZAAAACAEAAA8AAAAAAAAAAQAgAAAAOAAAAGRycy9kb3ducmV2Lnht&#10;bFBLAQIUABQAAAAIAIdO4kAygyn1GwIAADIEAAAOAAAAAAAAAAEAIAAAAD4BAABkcnMvZTJvRG9j&#10;LnhtbFBLBQYAAAAABgAGAFkBAADLBQAAAAA=&#10;">
                <v:fill on="f" focussize="0,0"/>
                <v:stroke color="#000000" joinstyle="miter" dashstyle="dash"/>
                <v:imagedata o:title=""/>
                <o:lock v:ext="edit" aspectratio="f"/>
                <v:textbox>
                  <w:txbxContent>
                    <w:p>
                      <w:pPr>
                        <w:autoSpaceDE w:val="0"/>
                        <w:autoSpaceDN w:val="0"/>
                        <w:adjustRightInd w:val="0"/>
                        <w:snapToGrid w:val="0"/>
                        <w:spacing w:line="288" w:lineRule="auto"/>
                        <w:rPr>
                          <w:rFonts w:ascii="仿宋" w:hAnsi="仿宋" w:eastAsia="仿宋" w:cs="仿宋"/>
                          <w:b/>
                          <w:sz w:val="24"/>
                        </w:rPr>
                      </w:pPr>
                      <w:r>
                        <w:rPr>
                          <w:rFonts w:hint="eastAsia" w:ascii="仿宋" w:hAnsi="仿宋" w:eastAsia="仿宋" w:cs="仿宋"/>
                          <w:b/>
                          <w:sz w:val="24"/>
                        </w:rPr>
                        <w:t>重要提示：</w:t>
                      </w:r>
                    </w:p>
                    <w:p>
                      <w:pPr>
                        <w:autoSpaceDE w:val="0"/>
                        <w:autoSpaceDN w:val="0"/>
                        <w:adjustRightInd w:val="0"/>
                        <w:snapToGrid w:val="0"/>
                        <w:spacing w:line="288" w:lineRule="auto"/>
                        <w:ind w:firstLine="482" w:firstLineChars="200"/>
                      </w:pPr>
                      <w:r>
                        <w:rPr>
                          <w:rFonts w:hint="eastAsia" w:ascii="仿宋" w:hAnsi="仿宋" w:eastAsia="仿宋" w:cs="仿宋"/>
                          <w:b/>
                          <w:sz w:val="24"/>
                        </w:rPr>
                        <w:t xml:space="preserve">尊敬的客户，为了维护您的权益，请您在签署本须知前认真阅读本须知全文，尤其是加黑加粗条款。如有疑义，请及时要求我行予以说明。 </w:t>
                      </w:r>
                    </w:p>
                  </w:txbxContent>
                </v:textbox>
                <w10:wrap type="square"/>
              </v:shape>
            </w:pict>
          </mc:Fallback>
        </mc:AlternateContent>
      </w:r>
    </w:p>
    <w:p>
      <w:pPr>
        <w:spacing w:after="240" w:line="360" w:lineRule="auto"/>
        <w:ind w:left="0"/>
        <w:jc w:val="center"/>
        <w:rPr>
          <w:rFonts w:ascii="微软雅黑" w:hAnsi="微软雅黑" w:eastAsia="微软雅黑"/>
          <w:b/>
          <w:sz w:val="44"/>
          <w:szCs w:val="44"/>
        </w:rPr>
      </w:pPr>
      <w:r>
        <w:rPr>
          <w:rFonts w:hint="eastAsia" w:ascii="微软雅黑" w:hAnsi="微软雅黑" w:eastAsia="微软雅黑"/>
          <w:b/>
          <w:sz w:val="44"/>
          <w:szCs w:val="44"/>
        </w:rPr>
        <w:t>申请开立招商银行个人银行账户须知</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一、申请人自愿开立招商银行个人银行账户（</w:t>
      </w:r>
      <w:r>
        <w:rPr>
          <w:rFonts w:hint="eastAsia" w:ascii="仿宋" w:hAnsi="仿宋" w:eastAsia="仿宋"/>
          <w:sz w:val="32"/>
          <w:szCs w:val="32"/>
          <w:lang w:val="en-US" w:eastAsia="zh-CN"/>
        </w:rPr>
        <w:t>本须知下的个人银行账户包括</w:t>
      </w:r>
      <w:r>
        <w:rPr>
          <w:rFonts w:hint="eastAsia" w:ascii="仿宋" w:hAnsi="仿宋" w:eastAsia="仿宋"/>
          <w:sz w:val="32"/>
          <w:szCs w:val="32"/>
        </w:rPr>
        <w:t>存折、存单和“一卡通”），并遵守国家有关金融法律法规、政策及招商银行业务规章制度。“一卡通”（指招商银行借记卡，包括“一卡通Ⅰ类”和</w:t>
      </w:r>
      <w:r>
        <w:rPr>
          <w:rFonts w:hint="eastAsia" w:ascii="仿宋" w:hAnsi="仿宋" w:eastAsia="仿宋"/>
          <w:sz w:val="32"/>
          <w:szCs w:val="32"/>
          <w:lang w:val="en-US" w:eastAsia="zh-CN"/>
        </w:rPr>
        <w:t>配备了实体卡的</w:t>
      </w:r>
      <w:r>
        <w:rPr>
          <w:rFonts w:hint="eastAsia" w:ascii="仿宋" w:hAnsi="仿宋" w:eastAsia="仿宋"/>
          <w:sz w:val="32"/>
          <w:szCs w:val="32"/>
        </w:rPr>
        <w:t>“一卡通Ⅱ类”，下同）账户申请人，还应同时遵守中国银联、Mas</w:t>
      </w:r>
      <w:r>
        <w:rPr>
          <w:rFonts w:ascii="仿宋" w:hAnsi="仿宋" w:eastAsia="仿宋"/>
          <w:sz w:val="32"/>
          <w:szCs w:val="32"/>
        </w:rPr>
        <w:t>ter</w:t>
      </w:r>
      <w:r>
        <w:rPr>
          <w:rFonts w:hint="eastAsia" w:ascii="仿宋" w:hAnsi="仿宋" w:eastAsia="仿宋"/>
          <w:sz w:val="32"/>
          <w:szCs w:val="32"/>
          <w:lang w:val="en-US" w:eastAsia="zh-CN"/>
        </w:rPr>
        <w:t>C</w:t>
      </w:r>
      <w:bookmarkStart w:id="5" w:name="_GoBack"/>
      <w:bookmarkEnd w:id="5"/>
      <w:r>
        <w:rPr>
          <w:rFonts w:ascii="仿宋" w:hAnsi="仿宋" w:eastAsia="仿宋"/>
          <w:sz w:val="32"/>
          <w:szCs w:val="32"/>
        </w:rPr>
        <w:t>ard(</w:t>
      </w:r>
      <w:r>
        <w:rPr>
          <w:rFonts w:hint="eastAsia" w:ascii="仿宋" w:hAnsi="仿宋" w:eastAsia="仿宋"/>
          <w:sz w:val="32"/>
          <w:szCs w:val="32"/>
        </w:rPr>
        <w:t>万事达卡</w:t>
      </w:r>
      <w:r>
        <w:rPr>
          <w:rFonts w:ascii="仿宋" w:hAnsi="仿宋" w:eastAsia="仿宋"/>
          <w:sz w:val="32"/>
          <w:szCs w:val="32"/>
        </w:rPr>
        <w:t>)</w:t>
      </w:r>
      <w:r>
        <w:rPr>
          <w:rFonts w:hint="eastAsia" w:ascii="仿宋" w:hAnsi="仿宋" w:eastAsia="仿宋"/>
          <w:sz w:val="32"/>
          <w:szCs w:val="32"/>
        </w:rPr>
        <w:t>等银行卡组织的相关规定。</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二、申请人保证向招商银行提供的开户证件符合个人存款账户实名制规定，并保证在招商银行填写的资料真实、合法、有效、完整。若由代理人代为办理开户，代理人保证向招商银行提供的申请人和代理人的开户证件符合个人存款账户实名制规定，代理人保证在招商银行填写的申请人和代理人的资料真实、合法、有效、完整，并保证</w:t>
      </w:r>
      <w:r>
        <w:rPr>
          <w:rFonts w:hint="eastAsia" w:ascii="仿宋" w:hAnsi="仿宋" w:eastAsia="仿宋"/>
          <w:sz w:val="32"/>
          <w:szCs w:val="32"/>
          <w:lang w:val="en-US" w:eastAsia="zh-CN"/>
        </w:rPr>
        <w:t>向申请人提供并</w:t>
      </w:r>
      <w:r>
        <w:rPr>
          <w:rFonts w:hint="eastAsia" w:ascii="仿宋" w:hAnsi="仿宋" w:eastAsia="仿宋"/>
          <w:sz w:val="32"/>
          <w:szCs w:val="32"/>
        </w:rPr>
        <w:t>告知</w:t>
      </w:r>
      <w:r>
        <w:rPr>
          <w:rFonts w:hint="eastAsia" w:ascii="仿宋" w:hAnsi="仿宋" w:eastAsia="仿宋"/>
          <w:sz w:val="32"/>
          <w:szCs w:val="32"/>
          <w:lang w:val="en-US" w:eastAsia="zh-CN"/>
        </w:rPr>
        <w:t>开立招商银行个人银行账户所需遵守的全部法律文件要求，包括但不限于</w:t>
      </w:r>
      <w:r>
        <w:rPr>
          <w:rFonts w:hint="eastAsia" w:ascii="仿宋" w:hAnsi="仿宋" w:eastAsia="仿宋"/>
          <w:sz w:val="32"/>
          <w:szCs w:val="32"/>
        </w:rPr>
        <w:t>开户须知、章程、业务功能说明及责任条款、业务收费标准等。</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val="en-US" w:eastAsia="zh-CN"/>
        </w:rPr>
        <w:t>招商银行个人银行账户存在“一卡通”实体卡片的，</w:t>
      </w:r>
      <w:r>
        <w:rPr>
          <w:rFonts w:hint="eastAsia" w:ascii="仿宋" w:hAnsi="仿宋" w:eastAsia="仿宋"/>
          <w:sz w:val="32"/>
          <w:szCs w:val="32"/>
        </w:rPr>
        <w:t>申请人应在“一卡通”卡片背面的签名栏上签署本人名字</w:t>
      </w:r>
      <w:r>
        <w:rPr>
          <w:rFonts w:hint="eastAsia" w:ascii="仿宋" w:hAnsi="仿宋" w:eastAsia="仿宋"/>
          <w:sz w:val="32"/>
          <w:szCs w:val="32"/>
          <w:lang w:eastAsia="zh-CN"/>
        </w:rPr>
        <w:t>；</w:t>
      </w:r>
      <w:r>
        <w:rPr>
          <w:rFonts w:hint="eastAsia" w:ascii="仿宋" w:hAnsi="仿宋" w:eastAsia="仿宋"/>
          <w:sz w:val="32"/>
          <w:szCs w:val="32"/>
          <w:lang w:val="en-US" w:eastAsia="zh-CN"/>
        </w:rPr>
        <w:t>代理开户的，申请人本人在获取“一卡通”实体卡片后在背面的签名栏上签署自己名字。</w:t>
      </w:r>
      <w:r>
        <w:rPr>
          <w:rFonts w:ascii="仿宋" w:hAnsi="仿宋" w:eastAsia="仿宋"/>
          <w:sz w:val="32"/>
          <w:szCs w:val="32"/>
        </w:rPr>
        <w:t>代理人</w:t>
      </w:r>
      <w:r>
        <w:rPr>
          <w:rFonts w:hint="eastAsia" w:ascii="仿宋" w:hAnsi="仿宋" w:eastAsia="仿宋"/>
          <w:sz w:val="32"/>
          <w:szCs w:val="32"/>
        </w:rPr>
        <w:t>应保证将申请人账户</w:t>
      </w:r>
      <w:r>
        <w:rPr>
          <w:rFonts w:hint="eastAsia" w:ascii="仿宋" w:hAnsi="仿宋" w:eastAsia="仿宋"/>
          <w:sz w:val="32"/>
          <w:szCs w:val="32"/>
          <w:lang w:val="en-US" w:eastAsia="zh-CN"/>
        </w:rPr>
        <w:t>卡片、法律文件</w:t>
      </w:r>
      <w:r>
        <w:rPr>
          <w:rFonts w:hint="eastAsia" w:ascii="仿宋" w:hAnsi="仿宋" w:eastAsia="仿宋"/>
          <w:sz w:val="32"/>
          <w:szCs w:val="32"/>
        </w:rPr>
        <w:t>及相关资料交由申请人本人，并告知申请人须其本人持有效身份证明文件至招商银行营业网点</w:t>
      </w:r>
      <w:r>
        <w:rPr>
          <w:rFonts w:ascii="仿宋" w:hAnsi="仿宋" w:eastAsia="仿宋"/>
          <w:sz w:val="32"/>
          <w:szCs w:val="32"/>
        </w:rPr>
        <w:t>办理</w:t>
      </w:r>
      <w:r>
        <w:rPr>
          <w:rFonts w:hint="eastAsia" w:ascii="仿宋" w:hAnsi="仿宋" w:eastAsia="仿宋"/>
          <w:sz w:val="32"/>
          <w:szCs w:val="32"/>
        </w:rPr>
        <w:t>卡片</w:t>
      </w:r>
      <w:r>
        <w:rPr>
          <w:rFonts w:ascii="仿宋" w:hAnsi="仿宋" w:eastAsia="仿宋"/>
          <w:sz w:val="32"/>
          <w:szCs w:val="32"/>
        </w:rPr>
        <w:t>激活后方能办理取款、消费等支付业务</w:t>
      </w:r>
      <w:r>
        <w:rPr>
          <w:rFonts w:hint="eastAsia" w:ascii="仿宋" w:hAnsi="仿宋" w:eastAsia="仿宋"/>
          <w:sz w:val="32"/>
          <w:szCs w:val="32"/>
        </w:rPr>
        <w:t>。</w:t>
      </w:r>
    </w:p>
    <w:p>
      <w:pPr>
        <w:spacing w:line="360" w:lineRule="auto"/>
        <w:ind w:left="0" w:firstLine="640" w:firstLineChars="200"/>
        <w:rPr>
          <w:rFonts w:ascii="黑体" w:hAnsi="黑体" w:eastAsia="黑体"/>
          <w:b/>
          <w:sz w:val="32"/>
          <w:szCs w:val="32"/>
        </w:rPr>
      </w:pPr>
      <w:r>
        <w:rPr>
          <w:rFonts w:hint="eastAsia" w:ascii="仿宋" w:hAnsi="仿宋" w:eastAsia="仿宋"/>
          <w:sz w:val="32"/>
          <w:szCs w:val="32"/>
        </w:rPr>
        <w:t>四、存折和存单账户设置的密码为账户密码，办理查询和支付业务均使用账户密码。“一卡通”设置的密码包括查询密码和交易密码，自助渠道查询业务（</w:t>
      </w:r>
      <w:r>
        <w:rPr>
          <w:rFonts w:hint="eastAsia" w:ascii="仿宋" w:hAnsi="仿宋" w:eastAsia="仿宋"/>
          <w:sz w:val="32"/>
          <w:szCs w:val="32"/>
          <w:lang w:eastAsia="zh-CN"/>
        </w:rPr>
        <w:t>包含手机银行、网上银行等渠道</w:t>
      </w:r>
      <w:r>
        <w:rPr>
          <w:rFonts w:hint="eastAsia" w:ascii="仿宋" w:hAnsi="仿宋" w:eastAsia="仿宋"/>
          <w:sz w:val="32"/>
          <w:szCs w:val="32"/>
        </w:rPr>
        <w:t>）可使用查询密码，ATM/POS查询及各类转账、支付交易使用交易密码（部分境外P</w:t>
      </w:r>
      <w:r>
        <w:rPr>
          <w:rFonts w:ascii="仿宋" w:hAnsi="仿宋" w:eastAsia="仿宋"/>
          <w:sz w:val="32"/>
          <w:szCs w:val="32"/>
        </w:rPr>
        <w:t>OS</w:t>
      </w:r>
      <w:r>
        <w:rPr>
          <w:rFonts w:hint="eastAsia" w:ascii="仿宋" w:hAnsi="仿宋" w:eastAsia="仿宋"/>
          <w:sz w:val="32"/>
          <w:szCs w:val="32"/>
        </w:rPr>
        <w:t>交易可以凭手写签名无需验证交易密码,交易功能另有约定的按约定的方式进行身份核验</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黑体" w:hAnsi="黑体" w:eastAsia="黑体"/>
          <w:b/>
          <w:sz w:val="32"/>
          <w:szCs w:val="32"/>
        </w:rPr>
        <w:t>凡使用密码及/或短信验证码</w:t>
      </w:r>
      <w:r>
        <w:rPr>
          <w:rFonts w:hint="eastAsia" w:ascii="黑体" w:hAnsi="黑体" w:eastAsia="黑体"/>
          <w:b/>
          <w:sz w:val="32"/>
          <w:szCs w:val="32"/>
          <w:lang w:val="en-US" w:eastAsia="zh-CN"/>
        </w:rPr>
        <w:t>及</w:t>
      </w:r>
      <w:r>
        <w:rPr>
          <w:rFonts w:hint="eastAsia" w:ascii="黑体" w:hAnsi="黑体" w:eastAsia="黑体"/>
          <w:b/>
          <w:sz w:val="32"/>
          <w:szCs w:val="32"/>
        </w:rPr>
        <w:t>/</w:t>
      </w:r>
      <w:r>
        <w:rPr>
          <w:rFonts w:hint="eastAsia" w:ascii="黑体" w:hAnsi="黑体" w:eastAsia="黑体"/>
          <w:b/>
          <w:sz w:val="32"/>
          <w:szCs w:val="32"/>
          <w:lang w:val="en-US" w:eastAsia="zh-CN"/>
        </w:rPr>
        <w:t>或</w:t>
      </w:r>
      <w:r>
        <w:rPr>
          <w:rFonts w:ascii="黑体" w:hAnsi="黑体" w:eastAsia="黑体"/>
          <w:b/>
          <w:sz w:val="32"/>
          <w:szCs w:val="32"/>
        </w:rPr>
        <w:t>指纹</w:t>
      </w:r>
      <w:r>
        <w:rPr>
          <w:rFonts w:hint="eastAsia" w:ascii="黑体" w:hAnsi="黑体" w:eastAsia="黑体"/>
          <w:b/>
          <w:sz w:val="32"/>
          <w:szCs w:val="32"/>
          <w:lang w:val="en-US" w:eastAsia="zh-CN"/>
        </w:rPr>
        <w:t>及</w:t>
      </w:r>
      <w:r>
        <w:rPr>
          <w:rFonts w:hint="eastAsia" w:ascii="黑体" w:hAnsi="黑体" w:eastAsia="黑体"/>
          <w:b/>
          <w:sz w:val="32"/>
          <w:szCs w:val="32"/>
        </w:rPr>
        <w:t>/</w:t>
      </w:r>
      <w:r>
        <w:rPr>
          <w:rFonts w:hint="eastAsia" w:ascii="黑体" w:hAnsi="黑体" w:eastAsia="黑体"/>
          <w:b/>
          <w:sz w:val="32"/>
          <w:szCs w:val="32"/>
          <w:lang w:val="en-US" w:eastAsia="zh-CN"/>
        </w:rPr>
        <w:t>或</w:t>
      </w:r>
      <w:r>
        <w:rPr>
          <w:rFonts w:hint="eastAsia" w:ascii="黑体" w:hAnsi="黑体" w:eastAsia="黑体"/>
          <w:b/>
          <w:sz w:val="32"/>
          <w:szCs w:val="32"/>
        </w:rPr>
        <w:t>人脸信息</w:t>
      </w:r>
      <w:r>
        <w:rPr>
          <w:rFonts w:hint="eastAsia" w:ascii="黑体" w:hAnsi="黑体" w:eastAsia="黑体"/>
          <w:b/>
          <w:sz w:val="32"/>
          <w:szCs w:val="32"/>
          <w:lang w:val="en-US" w:eastAsia="zh-CN"/>
        </w:rPr>
        <w:t>及</w:t>
      </w:r>
      <w:r>
        <w:rPr>
          <w:rFonts w:hint="eastAsia" w:ascii="黑体" w:hAnsi="黑体" w:eastAsia="黑体"/>
          <w:b/>
          <w:sz w:val="32"/>
          <w:szCs w:val="32"/>
        </w:rPr>
        <w:t>/</w:t>
      </w:r>
      <w:r>
        <w:rPr>
          <w:rFonts w:hint="eastAsia" w:ascii="黑体" w:hAnsi="黑体" w:eastAsia="黑体"/>
          <w:b/>
          <w:sz w:val="32"/>
          <w:szCs w:val="32"/>
          <w:lang w:val="en-US" w:eastAsia="zh-CN"/>
        </w:rPr>
        <w:t>或</w:t>
      </w:r>
      <w:r>
        <w:rPr>
          <w:rFonts w:ascii="黑体" w:hAnsi="黑体" w:eastAsia="黑体"/>
          <w:b/>
          <w:sz w:val="32"/>
          <w:szCs w:val="32"/>
        </w:rPr>
        <w:t>面容</w:t>
      </w:r>
      <w:r>
        <w:rPr>
          <w:rFonts w:hint="eastAsia" w:ascii="黑体" w:hAnsi="黑体" w:eastAsia="黑体"/>
          <w:b/>
          <w:sz w:val="32"/>
          <w:szCs w:val="32"/>
        </w:rPr>
        <w:t>I</w:t>
      </w:r>
      <w:r>
        <w:rPr>
          <w:rFonts w:ascii="黑体" w:hAnsi="黑体" w:eastAsia="黑体"/>
          <w:b/>
          <w:sz w:val="32"/>
          <w:szCs w:val="32"/>
        </w:rPr>
        <w:t>D</w:t>
      </w:r>
      <w:r>
        <w:rPr>
          <w:rFonts w:hint="eastAsia" w:ascii="黑体" w:hAnsi="黑体" w:eastAsia="黑体"/>
          <w:b/>
          <w:sz w:val="32"/>
          <w:szCs w:val="32"/>
        </w:rPr>
        <w:t>及</w:t>
      </w:r>
      <w:r>
        <w:rPr>
          <w:rFonts w:ascii="黑体" w:hAnsi="黑体" w:eastAsia="黑体"/>
          <w:b/>
          <w:sz w:val="32"/>
          <w:szCs w:val="32"/>
        </w:rPr>
        <w:t>/</w:t>
      </w:r>
      <w:r>
        <w:rPr>
          <w:rFonts w:hint="eastAsia" w:ascii="黑体" w:hAnsi="黑体" w:eastAsia="黑体"/>
          <w:b/>
          <w:sz w:val="32"/>
          <w:szCs w:val="32"/>
        </w:rPr>
        <w:t>或手写签名进行的交易均视为申请人本人办理的交易，申请人能提供合法有效确凿证明非本人操作的除外。申请人应依法合规开立和使用本人相关账户，妥善保管账号、密码、短信验证码、手机及其号码、开户资料、存款凭证等个人账户资料，不得出租、出借、出售、</w:t>
      </w:r>
      <w:bookmarkStart w:id="0" w:name="_Hlk6763523"/>
      <w:r>
        <w:rPr>
          <w:rFonts w:ascii="黑体" w:hAnsi="黑体" w:eastAsia="黑体"/>
          <w:b/>
          <w:sz w:val="32"/>
          <w:szCs w:val="32"/>
        </w:rPr>
        <w:t>购买</w:t>
      </w:r>
      <w:bookmarkEnd w:id="0"/>
      <w:r>
        <w:rPr>
          <w:rFonts w:hint="eastAsia" w:ascii="黑体" w:hAnsi="黑体" w:eastAsia="黑体"/>
          <w:b/>
          <w:sz w:val="32"/>
          <w:szCs w:val="32"/>
        </w:rPr>
        <w:t>“一卡通”等账户及存款凭证、</w:t>
      </w:r>
      <w:r>
        <w:rPr>
          <w:rFonts w:ascii="黑体" w:hAnsi="黑体" w:eastAsia="黑体"/>
          <w:b/>
          <w:sz w:val="32"/>
          <w:szCs w:val="32"/>
        </w:rPr>
        <w:t>优KEY</w:t>
      </w:r>
      <w:r>
        <w:rPr>
          <w:rFonts w:hint="eastAsia" w:ascii="黑体" w:hAnsi="黑体" w:eastAsia="黑体"/>
          <w:b/>
          <w:sz w:val="32"/>
          <w:szCs w:val="32"/>
        </w:rPr>
        <w:t>、手机SIM卡等账户存取工具和安全认证工具，不得泄露个人账户资料等信息。招商银行不承担因申请人对上述个人信息保管不当或遗失账户安全认证工具所造成的风险及损失，由此</w:t>
      </w:r>
      <w:bookmarkStart w:id="1" w:name="_Hlk6763561"/>
      <w:r>
        <w:rPr>
          <w:rFonts w:ascii="黑体" w:hAnsi="黑体" w:eastAsia="黑体"/>
          <w:b/>
          <w:sz w:val="32"/>
          <w:szCs w:val="32"/>
        </w:rPr>
        <w:t>产生的</w:t>
      </w:r>
      <w:r>
        <w:rPr>
          <w:rFonts w:hint="eastAsia" w:ascii="黑体" w:hAnsi="黑体" w:eastAsia="黑体"/>
          <w:b/>
          <w:sz w:val="32"/>
          <w:szCs w:val="32"/>
        </w:rPr>
        <w:t>法律责任</w:t>
      </w:r>
      <w:bookmarkEnd w:id="1"/>
      <w:r>
        <w:rPr>
          <w:rFonts w:hint="eastAsia" w:ascii="黑体" w:hAnsi="黑体" w:eastAsia="黑体"/>
          <w:b/>
          <w:sz w:val="32"/>
          <w:szCs w:val="32"/>
        </w:rPr>
        <w:t>由申请人承担。</w:t>
      </w:r>
    </w:p>
    <w:p>
      <w:pPr>
        <w:widowControl/>
        <w:spacing w:before="54" w:after="54"/>
        <w:ind w:left="54" w:right="54"/>
        <w:jc w:val="left"/>
        <w:rPr>
          <w:rFonts w:ascii="黑体" w:hAnsi="黑体" w:eastAsia="黑体"/>
          <w:b/>
          <w:sz w:val="32"/>
          <w:szCs w:val="32"/>
        </w:rPr>
      </w:pPr>
      <w:r>
        <w:rPr>
          <w:rFonts w:hint="eastAsia" w:ascii="仿宋" w:hAnsi="仿宋" w:eastAsia="仿宋"/>
          <w:sz w:val="28"/>
          <w:szCs w:val="28"/>
        </w:rPr>
        <w:t xml:space="preserve">   </w:t>
      </w:r>
      <w:r>
        <w:rPr>
          <w:rFonts w:hint="eastAsia" w:ascii="仿宋" w:hAnsi="仿宋" w:eastAsia="仿宋"/>
          <w:sz w:val="32"/>
          <w:szCs w:val="32"/>
        </w:rPr>
        <w:t>五、申请人知悉，招商银行对经设区的市级及以上公安机关认定的</w:t>
      </w:r>
      <w:r>
        <w:rPr>
          <w:rFonts w:hint="eastAsia" w:ascii="黑体" w:hAnsi="黑体" w:eastAsia="黑体"/>
          <w:b/>
          <w:sz w:val="32"/>
          <w:szCs w:val="32"/>
        </w:rPr>
        <w:t>出租、出借、出售、购买银行账户的个人及相关组织者，假冒他人身份或者虚构代理关系开立银行账户的个人，5年内暂停其银行账户非柜面业务，并不得为其新开立账户。</w:t>
      </w:r>
      <w:r>
        <w:rPr>
          <w:rFonts w:hint="eastAsia" w:ascii="仿宋" w:hAnsi="仿宋" w:eastAsia="仿宋"/>
          <w:sz w:val="32"/>
          <w:szCs w:val="32"/>
        </w:rPr>
        <w:t>惩戒期满后，受惩戒的个人办理新开立账户业务的，招商银行将加大审核力度。</w:t>
      </w:r>
      <w:r>
        <w:rPr>
          <w:rFonts w:hint="eastAsia" w:ascii="黑体" w:hAnsi="黑体" w:eastAsia="黑体"/>
          <w:b/>
          <w:sz w:val="32"/>
          <w:szCs w:val="32"/>
        </w:rPr>
        <w:t>人民银行将上述个人信息移送金融信用信息基础数据库并向社会公布。</w:t>
      </w:r>
      <w:r>
        <w:rPr>
          <w:rFonts w:hint="eastAsia" w:ascii="仿宋" w:hAnsi="仿宋" w:eastAsia="仿宋"/>
          <w:sz w:val="32"/>
          <w:szCs w:val="32"/>
        </w:rPr>
        <w:t>申请人知悉，根据相关法律法规规定，</w:t>
      </w:r>
      <w:r>
        <w:rPr>
          <w:rFonts w:hint="eastAsia" w:ascii="黑体" w:hAnsi="黑体" w:eastAsia="黑体"/>
          <w:b/>
          <w:sz w:val="32"/>
          <w:szCs w:val="32"/>
        </w:rPr>
        <w:t>出租、出借、出售、购买银行账户将给予警告并处于罚款，构成犯罪的将被追究刑事责任；非法持有他人银行账户，冒用他人居民身份证或者使用骗领的居民身份证，购买、出售、使用伪造、变造的居民身份证的，将依法追究刑事责任。</w:t>
      </w:r>
    </w:p>
    <w:p>
      <w:pPr>
        <w:spacing w:line="360" w:lineRule="auto"/>
        <w:ind w:firstLine="640" w:firstLineChars="200"/>
        <w:rPr>
          <w:rFonts w:ascii="仿宋" w:hAnsi="仿宋" w:eastAsia="仿宋"/>
          <w:sz w:val="32"/>
          <w:szCs w:val="32"/>
        </w:rPr>
      </w:pPr>
      <w:bookmarkStart w:id="2" w:name="tiao_65_kuan_2"/>
      <w:bookmarkEnd w:id="2"/>
      <w:bookmarkStart w:id="3" w:name="tiao_65_kuan_1_xiang_6"/>
      <w:bookmarkEnd w:id="3"/>
      <w:bookmarkStart w:id="4" w:name="tiao_65_kuan_1_xiang_5"/>
      <w:bookmarkEnd w:id="4"/>
      <w:r>
        <w:rPr>
          <w:rFonts w:hint="eastAsia" w:ascii="仿宋" w:hAnsi="仿宋" w:eastAsia="仿宋"/>
          <w:sz w:val="32"/>
          <w:szCs w:val="32"/>
        </w:rPr>
        <w:t>六、如遗失“一卡通”卡片、</w:t>
      </w:r>
      <w:r>
        <w:rPr>
          <w:rFonts w:hint="eastAsia" w:ascii="仿宋" w:hAnsi="仿宋" w:eastAsia="仿宋"/>
          <w:sz w:val="32"/>
          <w:szCs w:val="32"/>
          <w:highlight w:val="none"/>
        </w:rPr>
        <w:t>存折</w:t>
      </w:r>
      <w:r>
        <w:rPr>
          <w:rFonts w:hint="eastAsia" w:ascii="仿宋" w:hAnsi="仿宋" w:eastAsia="仿宋"/>
          <w:sz w:val="32"/>
          <w:szCs w:val="32"/>
        </w:rPr>
        <w:t>、存单等存款凭证</w:t>
      </w:r>
      <w:r>
        <w:rPr>
          <w:rFonts w:hint="eastAsia" w:ascii="仿宋" w:hAnsi="仿宋" w:eastAsia="仿宋"/>
          <w:sz w:val="32"/>
          <w:szCs w:val="32"/>
          <w:lang w:val="en-US" w:eastAsia="zh-CN"/>
        </w:rPr>
        <w:t>或者丧失对个人银行账户的控制权利</w:t>
      </w:r>
      <w:r>
        <w:rPr>
          <w:rFonts w:hint="eastAsia" w:ascii="仿宋" w:hAnsi="仿宋" w:eastAsia="仿宋"/>
          <w:sz w:val="32"/>
          <w:szCs w:val="32"/>
        </w:rPr>
        <w:t>，申请人应及时通过招商银行办理口头挂失或提出书面挂失申请。如申请人遗忘或发现个人账户密码被泄露，应立即向招商银行任一网点提出密码挂失申请。</w:t>
      </w:r>
      <w:r>
        <w:rPr>
          <w:rFonts w:hint="eastAsia" w:ascii="黑体" w:hAnsi="黑体" w:eastAsia="黑体" w:cs="仿宋_GB2312"/>
          <w:b/>
          <w:bCs/>
          <w:sz w:val="32"/>
          <w:szCs w:val="32"/>
        </w:rPr>
        <w:t>挂失手续办妥后挂失正式生效，其中口头挂失的有效期为五个自然日，</w:t>
      </w:r>
      <w:r>
        <w:rPr>
          <w:rFonts w:hint="eastAsia" w:ascii="黑体" w:hAnsi="黑体" w:eastAsia="黑体"/>
          <w:b/>
          <w:sz w:val="32"/>
          <w:szCs w:val="32"/>
        </w:rPr>
        <w:t>申请人应在有效期内办理书面挂失手续，否则口头挂失将</w:t>
      </w:r>
      <w:r>
        <w:rPr>
          <w:rFonts w:hint="eastAsia" w:ascii="黑体" w:hAnsi="黑体" w:eastAsia="黑体"/>
          <w:b/>
          <w:sz w:val="32"/>
          <w:szCs w:val="32"/>
          <w:lang w:val="en-US" w:eastAsia="zh-CN"/>
        </w:rPr>
        <w:t>在有效期满后</w:t>
      </w:r>
      <w:r>
        <w:rPr>
          <w:rFonts w:hint="eastAsia" w:ascii="黑体" w:hAnsi="黑体" w:eastAsia="黑体"/>
          <w:b/>
          <w:sz w:val="32"/>
          <w:szCs w:val="32"/>
        </w:rPr>
        <w:t>自动失效。</w:t>
      </w:r>
      <w:r>
        <w:rPr>
          <w:rFonts w:hint="eastAsia" w:ascii="黑体" w:hAnsi="黑体" w:eastAsia="黑体" w:cs="仿宋_GB2312"/>
          <w:b/>
          <w:bCs/>
          <w:sz w:val="32"/>
          <w:szCs w:val="32"/>
        </w:rPr>
        <w:t>挂失生效前以及挂失失效后账户资金发生变动的责任由申请人自行承担。</w:t>
      </w:r>
      <w:r>
        <w:rPr>
          <w:rFonts w:hint="eastAsia" w:ascii="黑体" w:hAnsi="黑体" w:eastAsia="黑体"/>
          <w:sz w:val="32"/>
          <w:szCs w:val="32"/>
        </w:rPr>
        <w:t xml:space="preserve"> </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七、办理“一卡通”开户申请或挂失换卡等领卡业务时，如申请人超过相关业务单据上约定的期限未办理领卡手续的，</w:t>
      </w:r>
      <w:r>
        <w:rPr>
          <w:rFonts w:hint="eastAsia" w:ascii="黑体" w:hAnsi="黑体" w:eastAsia="黑体" w:cs="仿宋_GB2312"/>
          <w:b/>
          <w:bCs/>
          <w:sz w:val="32"/>
          <w:szCs w:val="32"/>
        </w:rPr>
        <w:t>招商银行将按照相应的约定对未领的卡片进行开户申请撤销或作废处理</w:t>
      </w:r>
      <w:r>
        <w:rPr>
          <w:rFonts w:hint="eastAsia" w:ascii="仿宋" w:hAnsi="仿宋" w:eastAsia="仿宋"/>
          <w:b/>
          <w:bCs/>
          <w:sz w:val="32"/>
          <w:szCs w:val="32"/>
        </w:rPr>
        <w:t>。</w:t>
      </w:r>
      <w:r>
        <w:rPr>
          <w:rFonts w:hint="eastAsia" w:ascii="仿宋" w:hAnsi="仿宋" w:eastAsia="仿宋"/>
          <w:b/>
          <w:bCs/>
          <w:sz w:val="32"/>
          <w:szCs w:val="32"/>
          <w:lang w:val="en-US" w:eastAsia="zh-CN"/>
        </w:rPr>
        <w:t>申请人</w:t>
      </w:r>
      <w:r>
        <w:rPr>
          <w:rFonts w:hint="eastAsia" w:ascii="仿宋" w:hAnsi="仿宋" w:eastAsia="仿宋"/>
          <w:sz w:val="32"/>
          <w:szCs w:val="32"/>
          <w:lang w:val="en-US" w:eastAsia="zh-CN"/>
        </w:rPr>
        <w:t>可</w:t>
      </w:r>
      <w:r>
        <w:rPr>
          <w:rFonts w:hint="eastAsia" w:ascii="仿宋" w:hAnsi="仿宋" w:eastAsia="仿宋"/>
          <w:sz w:val="32"/>
          <w:szCs w:val="32"/>
        </w:rPr>
        <w:t>重新办理开户或换卡手续。</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八、申请人通过招商银行系统查询或打印的账户余额，可能包含申请人已发生但因商户或银行合作单位结账、对账周期等原因而尚未扣除的POS消费等支付交易金额。</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九、申请人同意招商银行按照监管机构的有关规定，对招商银行提供的账户管理或其他服务收取相关费用，</w:t>
      </w:r>
      <w:r>
        <w:rPr>
          <w:rFonts w:hint="eastAsia" w:ascii="黑体" w:hAnsi="黑体" w:eastAsia="黑体"/>
          <w:b/>
          <w:sz w:val="32"/>
          <w:szCs w:val="32"/>
        </w:rPr>
        <w:t>具体收费内容和收费标准以招商银行官方网站及营业场所的最新公告为准。如遇费用调整</w:t>
      </w:r>
      <w:r>
        <w:rPr>
          <w:rFonts w:ascii="黑体" w:hAnsi="黑体" w:eastAsia="黑体"/>
          <w:b/>
          <w:sz w:val="32"/>
          <w:szCs w:val="32"/>
        </w:rPr>
        <w:t>,</w:t>
      </w:r>
      <w:r>
        <w:rPr>
          <w:rFonts w:hint="eastAsia" w:ascii="黑体" w:hAnsi="黑体" w:eastAsia="黑体"/>
          <w:b/>
          <w:sz w:val="32"/>
          <w:szCs w:val="32"/>
        </w:rPr>
        <w:t>招商银行将在官方网站及营业场所醒目位置</w:t>
      </w:r>
      <w:r>
        <w:rPr>
          <w:rFonts w:ascii="黑体" w:hAnsi="黑体" w:eastAsia="黑体"/>
          <w:b/>
          <w:sz w:val="32"/>
          <w:szCs w:val="32"/>
        </w:rPr>
        <w:t>进行</w:t>
      </w:r>
      <w:r>
        <w:rPr>
          <w:rFonts w:hint="eastAsia" w:ascii="黑体" w:hAnsi="黑体" w:eastAsia="黑体"/>
          <w:b/>
          <w:sz w:val="32"/>
          <w:szCs w:val="32"/>
        </w:rPr>
        <w:t>公告，不再逐一通知申请人，如果申请人对调整后的收费标准存在任何异议，有权向招商银行申请终止相关服务或账户；如果在上述相关公告生效后申请人继续使用上述服务，视为申请人接受收费标准的调整。</w:t>
      </w:r>
    </w:p>
    <w:p>
      <w:pPr>
        <w:spacing w:line="360" w:lineRule="auto"/>
        <w:ind w:left="0" w:firstLine="640" w:firstLineChars="200"/>
        <w:rPr>
          <w:rFonts w:ascii="黑体" w:hAnsi="黑体" w:eastAsia="黑体"/>
          <w:sz w:val="32"/>
          <w:szCs w:val="32"/>
        </w:rPr>
      </w:pPr>
      <w:r>
        <w:rPr>
          <w:rFonts w:hint="eastAsia" w:ascii="仿宋" w:hAnsi="仿宋" w:eastAsia="仿宋"/>
          <w:sz w:val="32"/>
          <w:szCs w:val="32"/>
        </w:rPr>
        <w:t>十、</w:t>
      </w:r>
      <w:r>
        <w:rPr>
          <w:rFonts w:hint="eastAsia" w:ascii="黑体" w:hAnsi="黑体" w:eastAsia="黑体"/>
          <w:b/>
          <w:sz w:val="32"/>
          <w:szCs w:val="32"/>
        </w:rPr>
        <w:t>申请人应向招商银行留存本人真实、有效、准确的</w:t>
      </w:r>
      <w:r>
        <w:rPr>
          <w:rFonts w:hint="eastAsia" w:ascii="黑体" w:hAnsi="黑体" w:eastAsia="黑体"/>
          <w:b/>
          <w:sz w:val="32"/>
          <w:szCs w:val="32"/>
          <w:lang w:val="en-US" w:eastAsia="zh-CN"/>
        </w:rPr>
        <w:t>身份信息和</w:t>
      </w:r>
      <w:r>
        <w:rPr>
          <w:rFonts w:hint="eastAsia" w:ascii="黑体" w:hAnsi="黑体" w:eastAsia="黑体"/>
          <w:b/>
          <w:sz w:val="32"/>
          <w:szCs w:val="32"/>
        </w:rPr>
        <w:t>手机号码等个人资料信息，其中手机号码将作为招商银行与申请人联系、核实交易、验证身份、维护申请人资金安全的重要方式，申请人应预留本人实名登记的手机号码且确保该手机处于申请人有效掌控下，并注意做好手机安全防护工作。申请人预留非本人实名登记手机号码的，招商银行有权停用申请人相关账户，待申请人更新本人实名登记的手机号码后再恢复使用。申请人无合理理由与他人在招商银行预留相同手机号码的，招商银行将按照监管规定，暂停申请人账户的非柜面业务，待申请人完成</w:t>
      </w:r>
      <w:r>
        <w:rPr>
          <w:rFonts w:hint="eastAsia" w:ascii="黑体" w:hAnsi="黑体" w:eastAsia="黑体"/>
          <w:b/>
          <w:sz w:val="32"/>
          <w:szCs w:val="32"/>
          <w:lang w:val="en-US" w:eastAsia="zh-CN"/>
        </w:rPr>
        <w:t>符合前述要求的</w:t>
      </w:r>
      <w:r>
        <w:rPr>
          <w:rFonts w:hint="eastAsia" w:ascii="黑体" w:hAnsi="黑体" w:eastAsia="黑体"/>
          <w:b/>
          <w:sz w:val="32"/>
          <w:szCs w:val="32"/>
        </w:rPr>
        <w:t>手机号码确认或变更手续后再恢复非柜面业务办理。如申请人留存在招商银行的个人资料发生变更时，申请人应及时通过招商银行营业网点或相关自助渠道修改，申请人未及时更新的，招商银行根据风险管理需要，有权采取适当的管控措施，包括但不限于中止申请人的账户业务。因申请人未及时更新个人资料，或因申请人其他原因导致招商银行在需要联系申请人时无法及时联系上的，由此而产生的后果和风险由申请人自行承担。</w:t>
      </w:r>
    </w:p>
    <w:p>
      <w:pPr>
        <w:pStyle w:val="6"/>
        <w:spacing w:before="0" w:after="0"/>
        <w:ind w:left="135" w:right="75" w:firstLine="640" w:firstLineChars="200"/>
        <w:rPr>
          <w:sz w:val="32"/>
          <w:szCs w:val="32"/>
        </w:rPr>
      </w:pPr>
      <w:r>
        <w:rPr>
          <w:rFonts w:hint="eastAsia" w:ascii="仿宋" w:hAnsi="仿宋" w:eastAsia="仿宋"/>
          <w:sz w:val="32"/>
          <w:szCs w:val="32"/>
        </w:rPr>
        <w:t>十一、</w:t>
      </w:r>
      <w:r>
        <w:rPr>
          <w:rFonts w:hint="eastAsia" w:ascii="黑体" w:hAnsi="黑体" w:eastAsia="黑体"/>
          <w:b/>
          <w:sz w:val="32"/>
          <w:szCs w:val="32"/>
        </w:rPr>
        <w:t>申请人同意并自愿授权招商银行收集、存储、使用和内部传输申请人的姓名、证件号码、银行卡号、银行卡</w:t>
      </w:r>
      <w:r>
        <w:rPr>
          <w:rFonts w:ascii="黑体" w:hAnsi="黑体" w:eastAsia="黑体"/>
          <w:b/>
          <w:sz w:val="32"/>
          <w:szCs w:val="32"/>
        </w:rPr>
        <w:t>验证</w:t>
      </w:r>
      <w:r>
        <w:rPr>
          <w:rFonts w:hint="eastAsia" w:ascii="黑体" w:hAnsi="黑体" w:eastAsia="黑体"/>
          <w:b/>
          <w:sz w:val="32"/>
          <w:szCs w:val="32"/>
        </w:rPr>
        <w:t>码（CVV 或CVC）、手机号码、交易信息等相关个人信息，</w:t>
      </w:r>
      <w:r>
        <w:rPr>
          <w:rFonts w:hint="eastAsia" w:ascii="仿宋" w:hAnsi="仿宋" w:eastAsia="仿宋"/>
          <w:sz w:val="32"/>
          <w:szCs w:val="32"/>
        </w:rPr>
        <w:t>用于招商银行为申请人提供必要的个人账户相关的产品或服务，以及保障申请人个人账户的使用安全和交易风险管理。</w:t>
      </w:r>
      <w:r>
        <w:rPr>
          <w:rFonts w:ascii="Calibri" w:hAnsi="Calibri" w:eastAsia="仿宋" w:cs="Calibri"/>
          <w:sz w:val="32"/>
          <w:szCs w:val="32"/>
        </w:rPr>
        <w:t> </w:t>
      </w:r>
      <w:r>
        <w:rPr>
          <w:rFonts w:hint="eastAsia"/>
          <w:sz w:val="32"/>
          <w:szCs w:val="32"/>
        </w:rPr>
        <w:t xml:space="preserve"> </w:t>
      </w:r>
    </w:p>
    <w:p>
      <w:pPr>
        <w:widowControl/>
        <w:ind w:firstLine="643" w:firstLineChars="200"/>
        <w:jc w:val="left"/>
        <w:rPr>
          <w:rFonts w:hint="eastAsia" w:ascii="黑体" w:hAnsi="黑体" w:eastAsia="黑体" w:cs="黑体"/>
          <w:b/>
          <w:bCs/>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为</w:t>
      </w:r>
      <w:r>
        <w:rPr>
          <w:rFonts w:hint="eastAsia" w:ascii="黑体" w:hAnsi="黑体" w:eastAsia="黑体" w:cs="黑体"/>
          <w:b/>
          <w:bCs/>
          <w:color w:val="000000"/>
          <w:kern w:val="0"/>
          <w:sz w:val="32"/>
          <w:szCs w:val="32"/>
          <w:highlight w:val="none"/>
          <w:lang w:val="en-US" w:eastAsia="zh-CN" w:bidi="ar"/>
        </w:rPr>
        <w:t>了招商银行</w:t>
      </w:r>
      <w:r>
        <w:rPr>
          <w:rFonts w:hint="eastAsia" w:ascii="黑体" w:hAnsi="黑体" w:eastAsia="黑体" w:cs="黑体"/>
          <w:b/>
          <w:bCs/>
          <w:color w:val="000000"/>
          <w:kern w:val="0"/>
          <w:sz w:val="32"/>
          <w:szCs w:val="32"/>
          <w:highlight w:val="none"/>
          <w:lang w:bidi="ar"/>
        </w:rPr>
        <w:t>履行反赌、反诈等监管要求等业务需要，申请人同意招商银行向中国信息通信研究院提供</w:t>
      </w:r>
      <w:r>
        <w:rPr>
          <w:rFonts w:hint="eastAsia" w:ascii="黑体" w:hAnsi="黑体" w:eastAsia="黑体" w:cs="黑体"/>
          <w:b/>
          <w:bCs/>
          <w:color w:val="000000"/>
          <w:kern w:val="0"/>
          <w:sz w:val="32"/>
          <w:szCs w:val="32"/>
          <w:highlight w:val="none"/>
          <w:lang w:val="en-US" w:eastAsia="zh-CN" w:bidi="ar"/>
        </w:rPr>
        <w:t>申请人的</w:t>
      </w:r>
      <w:r>
        <w:rPr>
          <w:rFonts w:hint="eastAsia" w:ascii="黑体" w:hAnsi="黑体" w:eastAsia="黑体" w:cs="黑体"/>
          <w:b/>
          <w:bCs/>
          <w:color w:val="000000"/>
          <w:kern w:val="0"/>
          <w:sz w:val="32"/>
          <w:szCs w:val="32"/>
          <w:highlight w:val="none"/>
          <w:lang w:bidi="ar"/>
        </w:rPr>
        <w:t>姓名、证件号码、手机号码，用于核实申请人</w:t>
      </w:r>
      <w:r>
        <w:rPr>
          <w:rFonts w:hint="eastAsia" w:ascii="黑体" w:hAnsi="黑体" w:eastAsia="黑体" w:cs="黑体"/>
          <w:b/>
          <w:bCs/>
          <w:color w:val="000000"/>
          <w:kern w:val="0"/>
          <w:sz w:val="32"/>
          <w:szCs w:val="32"/>
          <w:highlight w:val="none"/>
          <w:lang w:val="en-US" w:eastAsia="zh-CN" w:bidi="ar"/>
        </w:rPr>
        <w:t>手机号码</w:t>
      </w:r>
      <w:r>
        <w:rPr>
          <w:rFonts w:hint="eastAsia" w:ascii="黑体" w:hAnsi="黑体" w:eastAsia="黑体" w:cs="黑体"/>
          <w:b/>
          <w:bCs/>
          <w:color w:val="000000"/>
          <w:kern w:val="0"/>
          <w:sz w:val="32"/>
          <w:szCs w:val="32"/>
          <w:highlight w:val="none"/>
          <w:lang w:bidi="ar"/>
        </w:rPr>
        <w:t>实名认证、</w:t>
      </w:r>
      <w:r>
        <w:rPr>
          <w:rFonts w:hint="eastAsia" w:ascii="黑体" w:hAnsi="黑体" w:eastAsia="黑体" w:cs="黑体"/>
          <w:b/>
          <w:bCs/>
          <w:color w:val="000000"/>
          <w:kern w:val="0"/>
          <w:sz w:val="32"/>
          <w:szCs w:val="32"/>
          <w:highlight w:val="none"/>
          <w:lang w:val="en-US" w:eastAsia="zh-CN" w:bidi="ar"/>
        </w:rPr>
        <w:t>是否为</w:t>
      </w:r>
      <w:r>
        <w:rPr>
          <w:rFonts w:hint="eastAsia" w:ascii="黑体" w:hAnsi="黑体" w:eastAsia="黑体" w:cs="黑体"/>
          <w:b/>
          <w:bCs/>
          <w:color w:val="000000"/>
          <w:kern w:val="0"/>
          <w:sz w:val="32"/>
          <w:szCs w:val="32"/>
          <w:highlight w:val="none"/>
          <w:lang w:bidi="ar"/>
        </w:rPr>
        <w:t>虚拟运营商号码</w:t>
      </w:r>
      <w:r>
        <w:rPr>
          <w:rFonts w:hint="eastAsia" w:ascii="黑体" w:hAnsi="黑体" w:eastAsia="黑体" w:cs="黑体"/>
          <w:b/>
          <w:bCs/>
          <w:color w:val="000000"/>
          <w:kern w:val="0"/>
          <w:sz w:val="32"/>
          <w:szCs w:val="32"/>
          <w:highlight w:val="none"/>
          <w:lang w:val="en-US" w:eastAsia="zh-CN" w:bidi="ar"/>
        </w:rPr>
        <w:t>及</w:t>
      </w:r>
      <w:r>
        <w:rPr>
          <w:rFonts w:hint="eastAsia" w:ascii="黑体" w:hAnsi="黑体" w:eastAsia="黑体" w:cs="黑体"/>
          <w:b/>
          <w:bCs/>
          <w:color w:val="000000"/>
          <w:kern w:val="0"/>
          <w:sz w:val="32"/>
          <w:szCs w:val="32"/>
          <w:highlight w:val="none"/>
          <w:lang w:bidi="ar"/>
        </w:rPr>
        <w:t>申请人名下手机卡的数量等情况。</w:t>
      </w:r>
    </w:p>
    <w:p>
      <w:pPr>
        <w:widowControl/>
        <w:ind w:firstLine="643" w:firstLineChars="200"/>
        <w:jc w:val="left"/>
        <w:rPr>
          <w:rFonts w:hint="eastAsia" w:ascii="仿宋_GB2312" w:hAnsi="仿宋_GB2312" w:eastAsia="仿宋_GB2312" w:cs="仿宋_GB2312"/>
          <w:b/>
          <w:bCs/>
          <w:color w:val="auto"/>
          <w:kern w:val="0"/>
          <w:sz w:val="32"/>
          <w:szCs w:val="32"/>
          <w:highlight w:val="none"/>
          <w:lang w:bidi="ar"/>
        </w:rPr>
      </w:pPr>
      <w:r>
        <w:rPr>
          <w:rFonts w:hint="eastAsia" w:ascii="黑体" w:hAnsi="黑体" w:eastAsia="黑体" w:cs="黑体"/>
          <w:b/>
          <w:bCs/>
          <w:color w:val="000000"/>
          <w:kern w:val="0"/>
          <w:sz w:val="32"/>
          <w:szCs w:val="32"/>
          <w:highlight w:val="none"/>
          <w:lang w:val="en-US" w:eastAsia="zh-CN" w:bidi="ar"/>
        </w:rPr>
        <w:t>为了</w:t>
      </w:r>
      <w:r>
        <w:rPr>
          <w:rFonts w:hint="eastAsia" w:ascii="黑体" w:hAnsi="黑体" w:eastAsia="黑体" w:cs="黑体"/>
          <w:b/>
          <w:bCs/>
          <w:color w:val="000000"/>
          <w:kern w:val="0"/>
          <w:sz w:val="32"/>
          <w:szCs w:val="32"/>
          <w:highlight w:val="none"/>
          <w:lang w:bidi="ar"/>
        </w:rPr>
        <w:t>防范申请人账户被侵害，保护申请人账户资金安全</w:t>
      </w:r>
      <w:r>
        <w:rPr>
          <w:rFonts w:hint="eastAsia" w:ascii="黑体" w:hAnsi="黑体" w:eastAsia="黑体" w:cs="黑体"/>
          <w:b/>
          <w:bCs/>
          <w:color w:val="000000"/>
          <w:kern w:val="0"/>
          <w:sz w:val="32"/>
          <w:szCs w:val="32"/>
          <w:highlight w:val="none"/>
          <w:lang w:eastAsia="zh-CN" w:bidi="ar"/>
        </w:rPr>
        <w:t>，</w:t>
      </w:r>
      <w:r>
        <w:rPr>
          <w:rFonts w:hint="eastAsia" w:ascii="黑体" w:hAnsi="黑体" w:eastAsia="黑体" w:cs="黑体"/>
          <w:b/>
          <w:bCs/>
          <w:color w:val="000000"/>
          <w:kern w:val="0"/>
          <w:sz w:val="32"/>
          <w:szCs w:val="32"/>
          <w:highlight w:val="none"/>
          <w:lang w:bidi="ar"/>
        </w:rPr>
        <w:t>申请人同意招商银行向依法设立的电信运营商等第三方机构查询、使用或提供</w:t>
      </w:r>
      <w:r>
        <w:rPr>
          <w:rFonts w:hint="eastAsia" w:ascii="黑体" w:hAnsi="黑体" w:eastAsia="黑体" w:cs="黑体"/>
          <w:b/>
          <w:bCs/>
          <w:color w:val="000000"/>
          <w:kern w:val="0"/>
          <w:sz w:val="32"/>
          <w:szCs w:val="32"/>
          <w:highlight w:val="none"/>
          <w:lang w:val="en-US" w:eastAsia="zh-CN" w:bidi="ar"/>
        </w:rPr>
        <w:t>申请人的</w:t>
      </w:r>
      <w:r>
        <w:rPr>
          <w:rFonts w:hint="eastAsia" w:ascii="黑体" w:hAnsi="黑体" w:eastAsia="黑体" w:cs="黑体"/>
          <w:b/>
          <w:bCs/>
          <w:color w:val="000000"/>
          <w:kern w:val="0"/>
          <w:sz w:val="32"/>
          <w:szCs w:val="32"/>
          <w:highlight w:val="none"/>
          <w:lang w:bidi="ar"/>
        </w:rPr>
        <w:t>姓名、证件号码、手机号码、位置、设备等相关信息，用于为申请人提供快捷登录、注册、</w:t>
      </w:r>
      <w:r>
        <w:rPr>
          <w:rFonts w:hint="eastAsia" w:ascii="黑体" w:hAnsi="黑体" w:eastAsia="黑体" w:cs="黑体"/>
          <w:b/>
          <w:bCs/>
          <w:color w:val="000000"/>
          <w:kern w:val="0"/>
          <w:sz w:val="32"/>
          <w:szCs w:val="32"/>
          <w:highlight w:val="none"/>
          <w:lang w:val="en-US" w:eastAsia="zh-CN" w:bidi="ar"/>
        </w:rPr>
        <w:t>协议签署、</w:t>
      </w:r>
      <w:r>
        <w:rPr>
          <w:rFonts w:hint="eastAsia" w:ascii="黑体" w:hAnsi="黑体" w:eastAsia="黑体" w:cs="黑体"/>
          <w:b/>
          <w:bCs/>
          <w:color w:val="000000"/>
          <w:kern w:val="0"/>
          <w:sz w:val="32"/>
          <w:szCs w:val="32"/>
          <w:highlight w:val="none"/>
          <w:lang w:bidi="ar"/>
        </w:rPr>
        <w:t>转账等产品和服务</w:t>
      </w:r>
      <w:r>
        <w:rPr>
          <w:rFonts w:hint="eastAsia" w:ascii="黑体" w:hAnsi="黑体" w:eastAsia="黑体" w:cs="黑体"/>
          <w:b/>
          <w:bCs/>
          <w:color w:val="000000"/>
          <w:kern w:val="0"/>
          <w:sz w:val="32"/>
          <w:szCs w:val="32"/>
          <w:highlight w:val="none"/>
          <w:lang w:eastAsia="zh-CN" w:bidi="ar"/>
        </w:rPr>
        <w:t>；</w:t>
      </w:r>
      <w:r>
        <w:rPr>
          <w:rFonts w:hint="eastAsia" w:ascii="黑体" w:hAnsi="黑体" w:eastAsia="黑体" w:cs="黑体"/>
          <w:b/>
          <w:bCs/>
          <w:color w:val="auto"/>
          <w:kern w:val="0"/>
          <w:sz w:val="32"/>
          <w:szCs w:val="32"/>
          <w:highlight w:val="none"/>
          <w:lang w:bidi="ar"/>
        </w:rPr>
        <w:t>申请人同意</w:t>
      </w:r>
      <w:r>
        <w:rPr>
          <w:rFonts w:hint="eastAsia" w:ascii="黑体" w:hAnsi="黑体" w:eastAsia="黑体" w:cs="黑体"/>
          <w:b/>
          <w:bCs/>
          <w:color w:val="auto"/>
          <w:kern w:val="0"/>
          <w:sz w:val="32"/>
          <w:szCs w:val="32"/>
          <w:highlight w:val="none"/>
          <w:lang w:val="en-US" w:eastAsia="zh-CN" w:bidi="ar"/>
        </w:rPr>
        <w:t>招商银行</w:t>
      </w:r>
      <w:r>
        <w:rPr>
          <w:rFonts w:hint="eastAsia" w:ascii="黑体" w:hAnsi="黑体" w:eastAsia="黑体" w:cs="黑体"/>
          <w:b/>
          <w:bCs/>
          <w:color w:val="auto"/>
          <w:kern w:val="0"/>
          <w:sz w:val="32"/>
          <w:szCs w:val="32"/>
          <w:highlight w:val="none"/>
          <w:lang w:bidi="ar"/>
        </w:rPr>
        <w:t>向依法设立的电信运营商、电信服务代理商等机构提供</w:t>
      </w:r>
      <w:r>
        <w:rPr>
          <w:rFonts w:hint="eastAsia" w:ascii="黑体" w:hAnsi="黑体" w:eastAsia="黑体" w:cs="黑体"/>
          <w:b/>
          <w:bCs/>
          <w:color w:val="auto"/>
          <w:kern w:val="0"/>
          <w:sz w:val="32"/>
          <w:szCs w:val="32"/>
          <w:highlight w:val="none"/>
          <w:lang w:val="en-US" w:eastAsia="zh-CN" w:bidi="ar"/>
        </w:rPr>
        <w:t>申请人的</w:t>
      </w:r>
      <w:r>
        <w:rPr>
          <w:rFonts w:hint="eastAsia" w:ascii="黑体" w:hAnsi="黑体" w:eastAsia="黑体" w:cs="黑体"/>
          <w:b/>
          <w:bCs/>
          <w:color w:val="auto"/>
          <w:kern w:val="0"/>
          <w:sz w:val="32"/>
          <w:szCs w:val="32"/>
          <w:highlight w:val="none"/>
          <w:lang w:bidi="ar"/>
        </w:rPr>
        <w:t>姓名、手机号码、账户信息、资金交易信息，以便</w:t>
      </w:r>
      <w:r>
        <w:rPr>
          <w:rFonts w:hint="eastAsia" w:ascii="黑体" w:hAnsi="黑体" w:eastAsia="黑体" w:cs="黑体"/>
          <w:b/>
          <w:bCs/>
          <w:color w:val="auto"/>
          <w:kern w:val="0"/>
          <w:sz w:val="32"/>
          <w:szCs w:val="32"/>
          <w:highlight w:val="none"/>
          <w:lang w:val="en-US" w:eastAsia="zh-CN" w:bidi="ar"/>
        </w:rPr>
        <w:t>电信运营商或</w:t>
      </w:r>
      <w:r>
        <w:rPr>
          <w:rFonts w:hint="eastAsia" w:ascii="黑体" w:hAnsi="黑体" w:eastAsia="黑体" w:cs="黑体"/>
          <w:b/>
          <w:bCs/>
          <w:color w:val="auto"/>
          <w:kern w:val="0"/>
          <w:sz w:val="32"/>
          <w:szCs w:val="32"/>
          <w:highlight w:val="none"/>
          <w:lang w:bidi="ar"/>
        </w:rPr>
        <w:t>电信服务代理商</w:t>
      </w:r>
      <w:r>
        <w:rPr>
          <w:rFonts w:hint="eastAsia" w:ascii="黑体" w:hAnsi="黑体" w:eastAsia="黑体" w:cs="黑体"/>
          <w:b/>
          <w:bCs/>
          <w:color w:val="auto"/>
          <w:kern w:val="0"/>
          <w:sz w:val="32"/>
          <w:szCs w:val="32"/>
          <w:highlight w:val="none"/>
          <w:lang w:val="en-US" w:eastAsia="zh-CN" w:bidi="ar"/>
        </w:rPr>
        <w:t>通过电信运营商</w:t>
      </w:r>
      <w:r>
        <w:rPr>
          <w:rFonts w:hint="eastAsia" w:ascii="黑体" w:hAnsi="黑体" w:eastAsia="黑体" w:cs="黑体"/>
          <w:b/>
          <w:bCs/>
          <w:color w:val="auto"/>
          <w:kern w:val="0"/>
          <w:sz w:val="32"/>
          <w:szCs w:val="32"/>
          <w:highlight w:val="none"/>
          <w:lang w:bidi="ar"/>
        </w:rPr>
        <w:t>及时向申请人的移动设备发送账户资金变动、相关交易通知等相关服务短信。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请人知悉并同意Ⅱ、Ⅲ类账户开户验证业务需要采集和处理的个人信息包括姓名、身份证号、手机号码、银行卡信息等必要的个人信息，用于核实持卡人身份真实性。招商银行（Ⅰ类户开户行）作为银行卡账户验证业务的被验证行，将从中国银联等清算机构接收前述个人信息并与本行留存的持卡人个人信息进行一致性进行比对并输出核验结果，反馈给相应Ⅱ、Ⅲ类账户开户行，同时留存该笔核验业务的日志信息以便于开展安全管理和客户投诉处理。</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申请人知悉并同意16-25岁且职业填写为学生的客群需要将其提供的姓名和身份证号，由招商银行用于在中国高等教育学生信息网（学信网）核验其学生身份的真实性，以便将核验结果作为客户身份与风险识别、借记卡账户等级管理、账户限额调整等业务的依据。</w:t>
      </w:r>
    </w:p>
    <w:p>
      <w:pPr>
        <w:adjustRightInd w:val="0"/>
        <w:snapToGrid w:val="0"/>
        <w:spacing w:line="360" w:lineRule="auto"/>
        <w:ind w:firstLine="640" w:firstLineChars="200"/>
        <w:rPr>
          <w:rFonts w:ascii="宋体" w:hAnsi="宋体"/>
          <w:b/>
          <w:bCs/>
          <w:sz w:val="32"/>
          <w:szCs w:val="32"/>
        </w:rPr>
      </w:pPr>
      <w:r>
        <w:rPr>
          <w:rFonts w:hint="eastAsia" w:ascii="仿宋" w:hAnsi="仿宋" w:eastAsia="仿宋" w:cs="仿宋"/>
          <w:bCs/>
          <w:sz w:val="32"/>
          <w:szCs w:val="32"/>
        </w:rPr>
        <w:t>出于业务办理过程中的服务</w:t>
      </w:r>
      <w:r>
        <w:rPr>
          <w:rFonts w:hint="eastAsia" w:ascii="仿宋" w:hAnsi="仿宋" w:eastAsia="仿宋" w:cs="仿宋"/>
          <w:bCs/>
          <w:sz w:val="32"/>
          <w:szCs w:val="32"/>
          <w:lang w:val="en-US" w:eastAsia="zh-CN"/>
        </w:rPr>
        <w:t>及风险控制</w:t>
      </w:r>
      <w:r>
        <w:rPr>
          <w:rFonts w:hint="eastAsia" w:ascii="仿宋" w:hAnsi="仿宋" w:eastAsia="仿宋" w:cs="仿宋"/>
          <w:bCs/>
          <w:sz w:val="32"/>
          <w:szCs w:val="32"/>
        </w:rPr>
        <w:t>需要、纠纷发生时的举证需要、法律法规及监管要求（包括但不限于反洗钱</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跨境支付、外汇管理等</w:t>
      </w:r>
      <w:r>
        <w:rPr>
          <w:rFonts w:hint="eastAsia" w:ascii="仿宋" w:hAnsi="仿宋" w:eastAsia="仿宋" w:cs="仿宋"/>
          <w:bCs/>
          <w:sz w:val="32"/>
          <w:szCs w:val="32"/>
        </w:rPr>
        <w:t>），</w:t>
      </w:r>
      <w:r>
        <w:rPr>
          <w:rFonts w:hint="eastAsia" w:ascii="黑体" w:hAnsi="黑体" w:eastAsia="黑体" w:cs="黑体"/>
          <w:b/>
          <w:bCs/>
          <w:sz w:val="32"/>
          <w:szCs w:val="32"/>
        </w:rPr>
        <w:t>申请人同意并授权招商银行将采集的个人信息进行存储，保存期限为自采集之日至申请人与招商银行业务关系终结后另加五年。如申请人身份相关资料和交易记录涉及正在被反洗钱调查的可疑交易活动，且反洗钱调查工作在规定的最低保存期届满时仍未结束的，招商银行将保存其至反洗钱调查工作结束。法律、行政法规、政府规章、监管规范对客户个人信息资料有更长保存期限要求的，遵守其规定。</w:t>
      </w:r>
    </w:p>
    <w:p>
      <w:pPr>
        <w:pStyle w:val="6"/>
        <w:spacing w:before="0" w:after="0"/>
        <w:ind w:left="135" w:right="75" w:firstLine="640" w:firstLineChars="200"/>
        <w:rPr>
          <w:sz w:val="32"/>
          <w:szCs w:val="32"/>
        </w:rPr>
      </w:pPr>
      <w:r>
        <w:rPr>
          <w:rFonts w:hint="eastAsia" w:ascii="仿宋" w:hAnsi="仿宋" w:eastAsia="仿宋"/>
          <w:sz w:val="32"/>
          <w:szCs w:val="32"/>
        </w:rPr>
        <w:t>申请人知悉招商银行会按照国家信息系统安全保护相关要求，进行安全管理，维护申请人的个人信息安全，并知悉申请人在个人信息处理活动中还可向招商银行行使法律所赋予本人对个人信息的知情权、决定权、查阅权、复制权、更正及补充权、解释权等。</w:t>
      </w:r>
    </w:p>
    <w:p>
      <w:pPr>
        <w:pStyle w:val="6"/>
        <w:spacing w:before="0" w:after="0"/>
        <w:ind w:left="135" w:right="75" w:firstLine="643" w:firstLineChars="200"/>
        <w:rPr>
          <w:rFonts w:ascii="仿宋" w:hAnsi="仿宋" w:eastAsia="仿宋"/>
          <w:sz w:val="32"/>
          <w:szCs w:val="32"/>
        </w:rPr>
      </w:pPr>
      <w:r>
        <w:rPr>
          <w:rFonts w:hint="eastAsia" w:ascii="黑体" w:hAnsi="黑体" w:eastAsia="黑体"/>
          <w:b/>
          <w:sz w:val="32"/>
          <w:szCs w:val="32"/>
          <w:shd w:val="clear" w:color="auto" w:fill="FFFFFF"/>
        </w:rPr>
        <w:t>申请人同意并授权招商银行根据国家法律法规规定或我国政府签署的国际协议或出于为申请人提供产品和服务或保障申请人账户和交易安全目的，视情况将其银行卡号、手机号码、设备信息等个人资料披露给国家有权机关、金融机构，或与招商银行有直接合作关系的招商银行的服务机构、代理人、外包作业机构、联名卡合作方等合作机构。申请人了解并知悉招商银行获取其个人资料主要用于申请人账户及交易风险管理、身份识别、客户分类、提供产品或服务等</w:t>
      </w:r>
      <w:r>
        <w:rPr>
          <w:rFonts w:hint="eastAsia" w:ascii="仿宋" w:hAnsi="仿宋" w:eastAsia="仿宋"/>
          <w:sz w:val="32"/>
          <w:szCs w:val="32"/>
          <w:shd w:val="clear" w:color="auto" w:fill="FFFFFF"/>
        </w:rPr>
        <w:t>，招商银行通过专业技术手段采取加密储存与传输，保障申请人个人信息的安全。申请人了解并知悉，除招商银行以外的第三方机构因上述授权而获取申请人的个人信息，招商银行承诺将通过签署法律协议的方式要求接收招商银行披露资料的第三方机构（国家有权机关除外）对申请人资料承担保密义务，并承诺除法律法规规定或本须知约定的情形外，未经申请人许可，不会向第三方公开、透露申请人的个人信息。</w:t>
      </w:r>
      <w:r>
        <w:rPr>
          <w:rFonts w:ascii="Calibri" w:hAnsi="Calibri" w:eastAsia="仿宋" w:cs="Calibri"/>
          <w:sz w:val="32"/>
          <w:szCs w:val="32"/>
          <w:shd w:val="clear" w:color="auto" w:fill="FFFFFF"/>
        </w:rPr>
        <w:t> </w:t>
      </w:r>
      <w:r>
        <w:rPr>
          <w:rFonts w:hint="eastAsia" w:ascii="仿宋" w:hAnsi="仿宋" w:eastAsia="仿宋"/>
          <w:sz w:val="32"/>
          <w:szCs w:val="32"/>
        </w:rPr>
        <w:t xml:space="preserve"> </w:t>
      </w:r>
    </w:p>
    <w:p>
      <w:pPr>
        <w:ind w:left="0" w:firstLine="570"/>
        <w:jc w:val="left"/>
        <w:rPr>
          <w:rFonts w:ascii="仿宋" w:hAnsi="仿宋" w:eastAsia="仿宋"/>
          <w:sz w:val="32"/>
          <w:szCs w:val="32"/>
          <w:lang w:bidi="ar"/>
        </w:rPr>
      </w:pPr>
      <w:r>
        <w:rPr>
          <w:rFonts w:hint="eastAsia" w:ascii="仿宋" w:hAnsi="仿宋" w:eastAsia="仿宋"/>
          <w:sz w:val="32"/>
          <w:szCs w:val="32"/>
        </w:rPr>
        <w:t>申请人确认，根据《</w:t>
      </w:r>
      <w:r>
        <w:rPr>
          <w:rFonts w:ascii="仿宋" w:hAnsi="仿宋" w:eastAsia="仿宋"/>
          <w:sz w:val="32"/>
          <w:szCs w:val="32"/>
        </w:rPr>
        <w:t>非居民金融账户涉税信息尽职调查管理办法》</w:t>
      </w:r>
      <w:r>
        <w:rPr>
          <w:rFonts w:hint="eastAsia" w:ascii="仿宋" w:hAnsi="仿宋" w:eastAsia="仿宋"/>
          <w:sz w:val="32"/>
          <w:szCs w:val="32"/>
        </w:rPr>
        <w:t>等</w:t>
      </w:r>
      <w:r>
        <w:rPr>
          <w:rFonts w:ascii="仿宋" w:hAnsi="仿宋" w:eastAsia="仿宋"/>
          <w:sz w:val="32"/>
          <w:szCs w:val="32"/>
        </w:rPr>
        <w:t>法律法规</w:t>
      </w:r>
      <w:r>
        <w:rPr>
          <w:rFonts w:hint="eastAsia" w:ascii="仿宋" w:hAnsi="仿宋" w:eastAsia="仿宋"/>
          <w:sz w:val="32"/>
          <w:szCs w:val="32"/>
        </w:rPr>
        <w:t>以及中国与境外国家签订的信息交换政府间协议，将如实申报其是否为非居民，并在符合上述条件的情况下提供税收居民身份</w:t>
      </w:r>
      <w:r>
        <w:rPr>
          <w:rFonts w:ascii="仿宋" w:hAnsi="仿宋" w:eastAsia="仿宋"/>
          <w:sz w:val="32"/>
          <w:szCs w:val="32"/>
        </w:rPr>
        <w:t>信息</w:t>
      </w:r>
      <w:r>
        <w:rPr>
          <w:rFonts w:hint="eastAsia" w:ascii="仿宋" w:hAnsi="仿宋" w:eastAsia="仿宋"/>
          <w:b/>
          <w:sz w:val="32"/>
          <w:szCs w:val="32"/>
        </w:rPr>
        <w:t>，</w:t>
      </w:r>
      <w:r>
        <w:rPr>
          <w:rFonts w:hint="eastAsia" w:ascii="黑体" w:hAnsi="黑体" w:eastAsia="黑体"/>
          <w:b/>
          <w:sz w:val="32"/>
          <w:szCs w:val="32"/>
        </w:rPr>
        <w:t>如上述税收</w:t>
      </w:r>
      <w:r>
        <w:rPr>
          <w:rFonts w:ascii="黑体" w:hAnsi="黑体" w:eastAsia="黑体"/>
          <w:b/>
          <w:sz w:val="32"/>
          <w:szCs w:val="32"/>
        </w:rPr>
        <w:t>居民</w:t>
      </w:r>
      <w:r>
        <w:rPr>
          <w:rFonts w:hint="eastAsia" w:ascii="黑体" w:hAnsi="黑体" w:eastAsia="黑体"/>
          <w:b/>
          <w:sz w:val="32"/>
          <w:szCs w:val="32"/>
        </w:rPr>
        <w:t>身份发生变更，将在3</w:t>
      </w:r>
      <w:r>
        <w:rPr>
          <w:rFonts w:ascii="黑体" w:hAnsi="黑体" w:eastAsia="黑体"/>
          <w:b/>
          <w:sz w:val="32"/>
          <w:szCs w:val="32"/>
        </w:rPr>
        <w:t>0日内</w:t>
      </w:r>
      <w:r>
        <w:rPr>
          <w:rFonts w:hint="eastAsia" w:ascii="黑体" w:hAnsi="黑体" w:eastAsia="黑体"/>
          <w:b/>
          <w:sz w:val="32"/>
          <w:szCs w:val="32"/>
        </w:rPr>
        <w:t>通知招商银行。</w:t>
      </w:r>
      <w:r>
        <w:rPr>
          <w:rFonts w:hint="eastAsia" w:ascii="仿宋" w:hAnsi="仿宋" w:eastAsia="仿宋"/>
          <w:sz w:val="32"/>
          <w:szCs w:val="32"/>
          <w:lang w:bidi="ar"/>
        </w:rPr>
        <w:t>若申请人符合《非居民金融账户涉税信息尽职调查管理办法》等法律法规规定的信息报送要求，招商银行将根据监管机构的前述规定对申请人的账户信息、税收居民身份等个人信息进行报送。</w:t>
      </w:r>
    </w:p>
    <w:p>
      <w:pPr>
        <w:numPr>
          <w:ilvl w:val="255"/>
          <w:numId w:val="0"/>
        </w:numPr>
        <w:spacing w:before="100" w:beforeAutospacing="1" w:after="100" w:afterAutospacing="1"/>
        <w:ind w:firstLine="640" w:firstLineChars="200"/>
        <w:rPr>
          <w:rFonts w:ascii="黑体" w:hAnsi="宋体" w:eastAsia="黑体" w:cs="黑体"/>
          <w:b/>
          <w:sz w:val="32"/>
          <w:szCs w:val="32"/>
          <w:lang w:bidi="ar"/>
        </w:rPr>
      </w:pPr>
      <w:r>
        <w:rPr>
          <w:rFonts w:hint="eastAsia" w:ascii="黑体" w:hAnsi="宋体" w:eastAsia="黑体" w:cs="黑体"/>
          <w:bCs/>
          <w:sz w:val="32"/>
          <w:szCs w:val="32"/>
          <w:lang w:bidi="ar"/>
        </w:rPr>
        <w:t>十二、</w:t>
      </w:r>
      <w:r>
        <w:rPr>
          <w:rFonts w:ascii="黑体" w:hAnsi="宋体" w:eastAsia="黑体" w:cs="黑体"/>
          <w:b/>
          <w:sz w:val="32"/>
          <w:szCs w:val="32"/>
          <w:lang w:bidi="ar"/>
        </w:rPr>
        <w:t>为了保护申请人的权益，向申请人提供完善优质的财富管理、支付结算、个人信贷等服务，提升用户服务体验，申请人同意招商银行依法依规收集、使用申请人的姓名、联系方式、银行账户、交易流水、资产负债情况、位置信息、衍生信息等数据用于（1）对申请人在招商银行的身份特征、行为偏好、交易习惯以及风险等级等特征进行分析；</w:t>
      </w:r>
      <w:r>
        <w:rPr>
          <w:rFonts w:hint="eastAsia" w:ascii="黑体" w:hAnsi="宋体" w:eastAsia="黑体" w:cs="黑体"/>
          <w:b/>
          <w:sz w:val="32"/>
          <w:szCs w:val="32"/>
          <w:lang w:bidi="ar"/>
        </w:rPr>
        <w:t>（</w:t>
      </w:r>
      <w:r>
        <w:rPr>
          <w:rFonts w:ascii="黑体" w:hAnsi="宋体" w:eastAsia="黑体" w:cs="黑体"/>
          <w:b/>
          <w:sz w:val="32"/>
          <w:szCs w:val="32"/>
          <w:lang w:bidi="ar"/>
        </w:rPr>
        <w:t>2）向申请人发送用户体验改进调查、风险合规核查、市场调查等信息</w:t>
      </w:r>
      <w:r>
        <w:rPr>
          <w:rFonts w:hint="eastAsia" w:ascii="黑体" w:hAnsi="宋体" w:eastAsia="黑体" w:cs="黑体"/>
          <w:b/>
          <w:sz w:val="32"/>
          <w:szCs w:val="32"/>
          <w:lang w:bidi="ar"/>
        </w:rPr>
        <w:t>。</w:t>
      </w:r>
      <w:r>
        <w:rPr>
          <w:rFonts w:ascii="黑体" w:hAnsi="宋体" w:eastAsia="黑体" w:cs="黑体"/>
          <w:b/>
          <w:sz w:val="32"/>
          <w:szCs w:val="32"/>
          <w:lang w:bidi="ar"/>
        </w:rPr>
        <w:t>招商银行的服务方式包括电话、招商银行APP消息、企业微信、短信、电子邮件等，并对服务过程进行记录。招商银行已采取符合业界标准的安全技术措施及管理措施，保护申请人的个人信息免受丢失、滥用、非授权进入、披露、改变或者破坏。</w:t>
      </w:r>
    </w:p>
    <w:p>
      <w:pPr>
        <w:spacing w:line="288" w:lineRule="auto"/>
        <w:ind w:firstLine="640" w:firstLineChars="200"/>
        <w:rPr>
          <w:rFonts w:ascii="仿宋" w:hAnsi="仿宋" w:eastAsia="黑体"/>
          <w:sz w:val="32"/>
          <w:szCs w:val="32"/>
        </w:rPr>
      </w:pPr>
      <w:r>
        <w:rPr>
          <w:rFonts w:hint="eastAsia" w:ascii="仿宋" w:hAnsi="仿宋" w:eastAsia="仿宋"/>
          <w:sz w:val="32"/>
          <w:szCs w:val="32"/>
        </w:rPr>
        <w:t>十三、</w:t>
      </w:r>
      <w:r>
        <w:rPr>
          <w:rFonts w:ascii="仿宋" w:hAnsi="仿宋" w:eastAsia="仿宋"/>
          <w:sz w:val="32"/>
          <w:szCs w:val="32"/>
        </w:rPr>
        <w:t>为了保护申请人的权益，向申请人提供完善优质的财富管理</w:t>
      </w:r>
      <w:r>
        <w:rPr>
          <w:rFonts w:ascii="仿宋" w:hAnsi="仿宋" w:eastAsia="仿宋"/>
          <w:sz w:val="32"/>
          <w:szCs w:val="32"/>
          <w:highlight w:val="none"/>
        </w:rPr>
        <w:t>服务，提</w:t>
      </w:r>
      <w:r>
        <w:rPr>
          <w:rFonts w:ascii="仿宋" w:hAnsi="仿宋" w:eastAsia="仿宋"/>
          <w:sz w:val="32"/>
          <w:szCs w:val="32"/>
        </w:rPr>
        <w:t>升用户服务体验，</w:t>
      </w:r>
      <w:r>
        <w:rPr>
          <w:rFonts w:ascii="黑体" w:hAnsi="宋体" w:eastAsia="黑体" w:cs="黑体"/>
          <w:b/>
          <w:sz w:val="32"/>
          <w:szCs w:val="32"/>
          <w:lang w:bidi="ar"/>
        </w:rPr>
        <w:t>申请人同意</w:t>
      </w:r>
      <w:r>
        <w:rPr>
          <w:rFonts w:hint="eastAsia" w:ascii="黑体" w:hAnsi="宋体" w:eastAsia="黑体" w:cs="黑体"/>
          <w:b/>
          <w:sz w:val="32"/>
          <w:szCs w:val="32"/>
          <w:lang w:bidi="ar"/>
        </w:rPr>
        <w:t>招商银行</w:t>
      </w:r>
      <w:r>
        <w:rPr>
          <w:rFonts w:ascii="黑体" w:hAnsi="宋体" w:eastAsia="黑体" w:cs="黑体"/>
          <w:b/>
          <w:sz w:val="32"/>
          <w:szCs w:val="32"/>
          <w:lang w:bidi="ar"/>
        </w:rPr>
        <w:t>向第三方机构（具体机构信息详见列表）查询、收集、使用申请人在第三方机构的信息</w:t>
      </w:r>
      <w:r>
        <w:rPr>
          <w:rFonts w:hint="eastAsia" w:ascii="黑体" w:hAnsi="宋体" w:eastAsia="黑体" w:cs="黑体"/>
          <w:b/>
          <w:sz w:val="32"/>
          <w:szCs w:val="32"/>
          <w:lang w:bidi="ar"/>
        </w:rPr>
        <w:t>（具体信息种类详见列表），</w:t>
      </w:r>
      <w:r>
        <w:rPr>
          <w:rFonts w:hint="eastAsia" w:ascii="黑体" w:hAnsi="宋体" w:eastAsia="黑体" w:cs="黑体"/>
          <w:b/>
          <w:sz w:val="32"/>
          <w:szCs w:val="32"/>
          <w:lang w:val="en-US" w:eastAsia="zh-CN" w:bidi="ar"/>
        </w:rPr>
        <w:t>用于使用</w:t>
      </w:r>
      <w:r>
        <w:rPr>
          <w:rFonts w:ascii="黑体" w:hAnsi="宋体" w:eastAsia="黑体" w:cs="黑体"/>
          <w:b/>
          <w:sz w:val="32"/>
          <w:szCs w:val="32"/>
          <w:lang w:bidi="ar"/>
        </w:rPr>
        <w:t>隐私计算数据分析工具（指在提供隐私保护前提下实现数据价值挖掘的技术体系，在处理和分析计算数据的过程中确保申请人的数据不透明、不泄露、无法被计算方及其他非授权方获取）处理、分析申请人在第三方机构的数据。</w:t>
      </w:r>
    </w:p>
    <w:p>
      <w:pPr>
        <w:pStyle w:val="6"/>
        <w:rPr>
          <w:rFonts w:hAnsi="宋体"/>
        </w:rPr>
      </w:pPr>
      <w:r>
        <w:rPr>
          <w:rFonts w:hAnsi="宋体"/>
        </w:rPr>
        <w:t>第三方机构列表与处理个人信息种类清单</w:t>
      </w:r>
    </w:p>
    <w:tbl>
      <w:tblPr>
        <w:tblStyle w:val="8"/>
        <w:tblW w:w="0" w:type="auto"/>
        <w:tblInd w:w="113" w:type="dxa"/>
        <w:tblLayout w:type="fixed"/>
        <w:tblCellMar>
          <w:top w:w="0" w:type="dxa"/>
          <w:left w:w="108" w:type="dxa"/>
          <w:bottom w:w="0" w:type="dxa"/>
          <w:right w:w="108" w:type="dxa"/>
        </w:tblCellMar>
      </w:tblPr>
      <w:tblGrid>
        <w:gridCol w:w="3963"/>
        <w:gridCol w:w="3403"/>
        <w:gridCol w:w="1985"/>
      </w:tblGrid>
      <w:tr>
        <w:tblPrEx>
          <w:tblCellMar>
            <w:top w:w="0" w:type="dxa"/>
            <w:left w:w="108" w:type="dxa"/>
            <w:bottom w:w="0" w:type="dxa"/>
            <w:right w:w="108" w:type="dxa"/>
          </w:tblCellMar>
        </w:tblPrEx>
        <w:trPr>
          <w:trHeight w:val="270" w:hRule="atLeast"/>
        </w:trPr>
        <w:tc>
          <w:tcPr>
            <w:tcW w:w="3963" w:type="dxa"/>
            <w:tcBorders>
              <w:top w:val="single" w:color="auto" w:sz="4" w:space="0"/>
              <w:left w:val="nil"/>
              <w:bottom w:val="nil"/>
              <w:right w:val="single" w:color="auto" w:sz="4" w:space="0"/>
            </w:tcBorders>
            <w:shd w:val="clear" w:color="auto" w:fill="D8D8D8"/>
            <w:vAlign w:val="center"/>
          </w:tcPr>
          <w:p>
            <w:pPr>
              <w:widowControl/>
              <w:jc w:val="center"/>
              <w:rPr>
                <w:rFonts w:ascii="仿宋" w:hAnsi="仿宋" w:eastAsia="仿宋" w:cs="宋体"/>
                <w:b/>
                <w:kern w:val="0"/>
                <w:sz w:val="16"/>
                <w:szCs w:val="16"/>
              </w:rPr>
            </w:pPr>
            <w:r>
              <w:rPr>
                <w:rFonts w:hint="eastAsia" w:ascii="仿宋" w:hAnsi="仿宋" w:eastAsia="仿宋" w:cs="宋体"/>
                <w:b/>
                <w:kern w:val="0"/>
                <w:sz w:val="16"/>
                <w:szCs w:val="16"/>
                <w:lang w:bidi="ar"/>
              </w:rPr>
              <w:t>处理的个人信息种类</w:t>
            </w:r>
          </w:p>
        </w:tc>
        <w:tc>
          <w:tcPr>
            <w:tcW w:w="3403" w:type="dxa"/>
            <w:tcBorders>
              <w:top w:val="single" w:color="auto" w:sz="4" w:space="0"/>
              <w:left w:val="nil"/>
              <w:bottom w:val="nil"/>
              <w:right w:val="single" w:color="auto" w:sz="4" w:space="0"/>
            </w:tcBorders>
            <w:shd w:val="clear" w:color="auto" w:fill="D8D8D8"/>
            <w:vAlign w:val="center"/>
          </w:tcPr>
          <w:p>
            <w:pPr>
              <w:widowControl/>
              <w:jc w:val="center"/>
              <w:rPr>
                <w:rFonts w:ascii="仿宋" w:hAnsi="仿宋" w:eastAsia="仿宋" w:cs="宋体"/>
                <w:b/>
                <w:kern w:val="0"/>
                <w:sz w:val="16"/>
                <w:szCs w:val="16"/>
              </w:rPr>
            </w:pPr>
            <w:r>
              <w:rPr>
                <w:rFonts w:hint="eastAsia" w:ascii="仿宋" w:hAnsi="仿宋" w:eastAsia="仿宋" w:cs="宋体"/>
                <w:b/>
                <w:kern w:val="0"/>
                <w:sz w:val="16"/>
                <w:szCs w:val="16"/>
                <w:lang w:bidi="ar"/>
              </w:rPr>
              <w:t>第三方机构名称</w:t>
            </w:r>
          </w:p>
        </w:tc>
        <w:tc>
          <w:tcPr>
            <w:tcW w:w="1985" w:type="dxa"/>
            <w:tcBorders>
              <w:top w:val="single" w:color="auto" w:sz="4" w:space="0"/>
              <w:left w:val="nil"/>
              <w:bottom w:val="nil"/>
              <w:right w:val="single" w:color="auto" w:sz="4" w:space="0"/>
            </w:tcBorders>
            <w:shd w:val="clear" w:color="auto" w:fill="D8D8D8"/>
            <w:vAlign w:val="center"/>
          </w:tcPr>
          <w:p>
            <w:pPr>
              <w:widowControl/>
              <w:jc w:val="center"/>
              <w:rPr>
                <w:rFonts w:ascii="仿宋" w:hAnsi="仿宋" w:eastAsia="仿宋" w:cs="宋体"/>
                <w:b/>
                <w:kern w:val="0"/>
                <w:sz w:val="16"/>
                <w:szCs w:val="16"/>
              </w:rPr>
            </w:pPr>
            <w:r>
              <w:rPr>
                <w:rFonts w:hint="eastAsia" w:ascii="仿宋" w:hAnsi="仿宋" w:eastAsia="仿宋" w:cs="宋体"/>
                <w:b/>
                <w:kern w:val="0"/>
                <w:sz w:val="16"/>
                <w:szCs w:val="16"/>
                <w:lang w:bidi="ar"/>
              </w:rPr>
              <w:t>联系方式</w:t>
            </w:r>
          </w:p>
        </w:tc>
      </w:tr>
      <w:tr>
        <w:tblPrEx>
          <w:tblCellMar>
            <w:top w:w="0" w:type="dxa"/>
            <w:left w:w="108" w:type="dxa"/>
            <w:bottom w:w="0" w:type="dxa"/>
            <w:right w:w="108" w:type="dxa"/>
          </w:tblCellMar>
        </w:tblPrEx>
        <w:trPr>
          <w:trHeight w:val="540" w:hRule="atLeast"/>
        </w:trPr>
        <w:tc>
          <w:tcPr>
            <w:tcW w:w="3963"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个人社保缴纳情况、个人医保缴纳情况、个人公积金缴纳情况、个人纳税信息、个人名下不动产信息</w:t>
            </w:r>
          </w:p>
        </w:tc>
        <w:tc>
          <w:tcPr>
            <w:tcW w:w="3403"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中华人民共和国人力资源和社会保障部及下属分部、国家医疗保障局及下属分部、住房和城乡建设部及下属公积金中心、国家税务总局及下属分部</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12333</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12393</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12319</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12366</w:t>
            </w:r>
          </w:p>
        </w:tc>
      </w:tr>
      <w:tr>
        <w:tblPrEx>
          <w:tblCellMar>
            <w:top w:w="0" w:type="dxa"/>
            <w:left w:w="108" w:type="dxa"/>
            <w:bottom w:w="0" w:type="dxa"/>
            <w:right w:w="108" w:type="dxa"/>
          </w:tblCellMar>
        </w:tblPrEx>
        <w:trPr>
          <w:trHeight w:val="810" w:hRule="atLeast"/>
        </w:trPr>
        <w:tc>
          <w:tcPr>
            <w:tcW w:w="396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他行持卡信息、个人消费情况、消费偏好标签（如消费频率、购物分类、是否境外消费等）</w:t>
            </w:r>
          </w:p>
        </w:tc>
        <w:tc>
          <w:tcPr>
            <w:tcW w:w="340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中国银联股份有限公司、银联商务股份有限公司、银联智策顾问（上海）有限公司、网联清算有限公司</w:t>
            </w:r>
          </w:p>
        </w:tc>
        <w:tc>
          <w:tcPr>
            <w:tcW w:w="198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95516</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95534</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021-61005911</w:t>
            </w:r>
          </w:p>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010-68148881</w:t>
            </w:r>
          </w:p>
        </w:tc>
      </w:tr>
      <w:tr>
        <w:trPr>
          <w:trHeight w:val="540" w:hRule="atLeast"/>
        </w:trPr>
        <w:tc>
          <w:tcPr>
            <w:tcW w:w="396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话费套餐消费信息、语音通话记录信息、短信收发信息、个人网络使用信息（如浏览网址分类信息、浏览时长、流量使用情况等）、用户设备终端信息（当前imei号,手机串号,手机的唯一标识，换机频率，终端位置信息等）</w:t>
            </w:r>
          </w:p>
        </w:tc>
        <w:tc>
          <w:tcPr>
            <w:tcW w:w="340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sz w:val="16"/>
                <w:szCs w:val="16"/>
              </w:rPr>
              <w:t>中国移动通信集团有限公司、中移动信息技术有限公司、卓望信息技术（北京）有限公司、中国联合网络通信集团、联通数字科技有限公司、中国电信集团有限公司、天翼电子商务有限公司、中国信息通信研究院、北京中互智信科技有限公司。</w:t>
            </w:r>
          </w:p>
        </w:tc>
        <w:tc>
          <w:tcPr>
            <w:tcW w:w="1985" w:type="dxa"/>
            <w:tcBorders>
              <w:top w:val="nil"/>
              <w:left w:val="nil"/>
              <w:bottom w:val="single" w:color="auto" w:sz="4" w:space="0"/>
              <w:right w:val="single" w:color="auto" w:sz="4" w:space="0"/>
            </w:tcBorders>
            <w:vAlign w:val="center"/>
          </w:tcPr>
          <w:p>
            <w:pPr>
              <w:widowControl/>
              <w:spacing w:before="75" w:after="75"/>
              <w:jc w:val="left"/>
              <w:rPr>
                <w:kern w:val="0"/>
                <w:szCs w:val="21"/>
              </w:rPr>
            </w:pPr>
            <w:r>
              <w:rPr>
                <w:rFonts w:hint="eastAsia" w:ascii="微软雅黑" w:hAnsi="微软雅黑" w:eastAsia="微软雅黑"/>
                <w:kern w:val="0"/>
                <w:sz w:val="16"/>
                <w:szCs w:val="16"/>
              </w:rPr>
              <w:t>10086</w:t>
            </w:r>
          </w:p>
          <w:p>
            <w:pPr>
              <w:widowControl/>
              <w:spacing w:before="75" w:after="75"/>
              <w:jc w:val="left"/>
              <w:rPr>
                <w:kern w:val="0"/>
                <w:szCs w:val="21"/>
              </w:rPr>
            </w:pPr>
            <w:r>
              <w:rPr>
                <w:rFonts w:hint="eastAsia" w:ascii="微软雅黑" w:hAnsi="微软雅黑" w:eastAsia="微软雅黑"/>
                <w:kern w:val="0"/>
                <w:sz w:val="16"/>
                <w:szCs w:val="16"/>
              </w:rPr>
              <w:t>010-52686688</w:t>
            </w:r>
          </w:p>
          <w:p>
            <w:pPr>
              <w:widowControl/>
              <w:spacing w:before="75" w:after="75"/>
              <w:jc w:val="left"/>
              <w:rPr>
                <w:kern w:val="0"/>
                <w:szCs w:val="21"/>
              </w:rPr>
            </w:pPr>
            <w:r>
              <w:rPr>
                <w:rFonts w:hint="eastAsia" w:ascii="微软雅黑" w:hAnsi="微软雅黑" w:eastAsia="微软雅黑"/>
                <w:kern w:val="0"/>
                <w:sz w:val="16"/>
                <w:szCs w:val="16"/>
              </w:rPr>
              <w:t>010-53259000</w:t>
            </w:r>
          </w:p>
          <w:p>
            <w:pPr>
              <w:widowControl/>
              <w:spacing w:before="75" w:after="75"/>
              <w:jc w:val="left"/>
              <w:rPr>
                <w:kern w:val="0"/>
                <w:szCs w:val="21"/>
              </w:rPr>
            </w:pPr>
            <w:r>
              <w:rPr>
                <w:rFonts w:hint="eastAsia" w:ascii="微软雅黑" w:hAnsi="微软雅黑" w:eastAsia="微软雅黑"/>
                <w:kern w:val="0"/>
                <w:sz w:val="16"/>
                <w:szCs w:val="16"/>
              </w:rPr>
              <w:t>10010</w:t>
            </w:r>
          </w:p>
          <w:p>
            <w:pPr>
              <w:widowControl/>
              <w:spacing w:before="75" w:after="75"/>
              <w:jc w:val="left"/>
              <w:rPr>
                <w:kern w:val="0"/>
                <w:szCs w:val="21"/>
              </w:rPr>
            </w:pPr>
            <w:r>
              <w:rPr>
                <w:rFonts w:hint="eastAsia" w:ascii="微软雅黑" w:hAnsi="微软雅黑" w:eastAsia="微软雅黑"/>
                <w:kern w:val="0"/>
                <w:sz w:val="16"/>
                <w:szCs w:val="16"/>
              </w:rPr>
              <w:t>010-82053649</w:t>
            </w:r>
          </w:p>
          <w:p>
            <w:pPr>
              <w:widowControl/>
              <w:spacing w:before="75" w:after="75"/>
              <w:jc w:val="left"/>
              <w:rPr>
                <w:kern w:val="0"/>
                <w:szCs w:val="21"/>
              </w:rPr>
            </w:pPr>
            <w:r>
              <w:rPr>
                <w:rFonts w:hint="eastAsia" w:ascii="微软雅黑" w:hAnsi="微软雅黑" w:eastAsia="微软雅黑"/>
                <w:kern w:val="0"/>
                <w:sz w:val="16"/>
                <w:szCs w:val="16"/>
              </w:rPr>
              <w:t>10000</w:t>
            </w:r>
          </w:p>
          <w:p>
            <w:pPr>
              <w:widowControl/>
              <w:spacing w:before="75" w:after="75"/>
              <w:jc w:val="left"/>
              <w:rPr>
                <w:kern w:val="0"/>
                <w:szCs w:val="21"/>
              </w:rPr>
            </w:pPr>
            <w:r>
              <w:rPr>
                <w:rFonts w:hint="eastAsia" w:ascii="微软雅黑" w:hAnsi="微软雅黑" w:eastAsia="微软雅黑"/>
                <w:kern w:val="0"/>
                <w:sz w:val="16"/>
                <w:szCs w:val="16"/>
              </w:rPr>
              <w:t>010-58520462</w:t>
            </w:r>
          </w:p>
          <w:p>
            <w:pPr>
              <w:widowControl/>
              <w:spacing w:before="75" w:after="75"/>
              <w:jc w:val="left"/>
              <w:rPr>
                <w:kern w:val="0"/>
                <w:szCs w:val="21"/>
              </w:rPr>
            </w:pPr>
            <w:r>
              <w:rPr>
                <w:rFonts w:hint="eastAsia" w:ascii="微软雅黑" w:hAnsi="微软雅黑" w:eastAsia="微软雅黑"/>
                <w:kern w:val="0"/>
                <w:sz w:val="16"/>
                <w:szCs w:val="16"/>
              </w:rPr>
              <w:t>010-62302062</w:t>
            </w:r>
          </w:p>
          <w:p>
            <w:pPr>
              <w:widowControl/>
              <w:spacing w:before="75" w:after="75"/>
              <w:jc w:val="left"/>
              <w:rPr>
                <w:kern w:val="0"/>
                <w:szCs w:val="21"/>
              </w:rPr>
            </w:pPr>
            <w:r>
              <w:rPr>
                <w:rFonts w:hint="eastAsia" w:ascii="微软雅黑" w:hAnsi="微软雅黑" w:eastAsia="微软雅黑"/>
                <w:kern w:val="0"/>
                <w:sz w:val="16"/>
                <w:szCs w:val="16"/>
              </w:rPr>
              <w:t>010-82994199</w:t>
            </w:r>
          </w:p>
          <w:p>
            <w:pPr>
              <w:widowControl/>
              <w:jc w:val="left"/>
              <w:rPr>
                <w:rFonts w:ascii="微软雅黑" w:hAnsi="微软雅黑" w:eastAsia="微软雅黑" w:cs="宋体"/>
                <w:kern w:val="0"/>
                <w:sz w:val="16"/>
                <w:szCs w:val="16"/>
              </w:rPr>
            </w:pPr>
          </w:p>
        </w:tc>
      </w:tr>
      <w:tr>
        <w:tblPrEx>
          <w:tblCellMar>
            <w:top w:w="0" w:type="dxa"/>
            <w:left w:w="108" w:type="dxa"/>
            <w:bottom w:w="0" w:type="dxa"/>
            <w:right w:w="108" w:type="dxa"/>
          </w:tblCellMar>
        </w:tblPrEx>
        <w:trPr>
          <w:trHeight w:val="540" w:hRule="atLeast"/>
        </w:trPr>
        <w:tc>
          <w:tcPr>
            <w:tcW w:w="396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用户航旅出行信息及所在航班信息</w:t>
            </w:r>
          </w:p>
        </w:tc>
        <w:tc>
          <w:tcPr>
            <w:tcW w:w="340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中国民航信息集团有限公司</w:t>
            </w:r>
          </w:p>
        </w:tc>
        <w:tc>
          <w:tcPr>
            <w:tcW w:w="198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010-57650696</w:t>
            </w:r>
          </w:p>
        </w:tc>
      </w:tr>
      <w:tr>
        <w:tblPrEx>
          <w:tblCellMar>
            <w:top w:w="0" w:type="dxa"/>
            <w:left w:w="108" w:type="dxa"/>
            <w:bottom w:w="0" w:type="dxa"/>
            <w:right w:w="108" w:type="dxa"/>
          </w:tblCellMar>
        </w:tblPrEx>
        <w:trPr>
          <w:trHeight w:val="629" w:hRule="atLeast"/>
        </w:trPr>
        <w:tc>
          <w:tcPr>
            <w:tcW w:w="396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lang w:bidi="ar"/>
              </w:rPr>
            </w:pPr>
            <w:r>
              <w:rPr>
                <w:rFonts w:hint="eastAsia" w:ascii="微软雅黑" w:hAnsi="微软雅黑" w:eastAsia="微软雅黑" w:cs="宋体"/>
                <w:kern w:val="0"/>
                <w:sz w:val="16"/>
                <w:szCs w:val="16"/>
                <w:lang w:bidi="ar"/>
              </w:rPr>
              <w:t>用户兴趣信息（如浏览、点击内容具体分类等）、用户行为信息（如点击、浏览、消费等行为）、绑定手机号信息、设备信息、用户关系网络等数据</w:t>
            </w: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lang w:bidi="ar"/>
              </w:rPr>
            </w:pPr>
          </w:p>
          <w:p>
            <w:pPr>
              <w:widowControl/>
              <w:jc w:val="left"/>
              <w:rPr>
                <w:rFonts w:ascii="微软雅黑" w:hAnsi="微软雅黑" w:eastAsia="微软雅黑" w:cs="宋体"/>
                <w:kern w:val="0"/>
                <w:sz w:val="16"/>
                <w:szCs w:val="16"/>
              </w:rPr>
            </w:pPr>
          </w:p>
        </w:tc>
        <w:tc>
          <w:tcPr>
            <w:tcW w:w="340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sz w:val="16"/>
                <w:szCs w:val="16"/>
              </w:rPr>
              <w:t>阿里巴巴（中国）网络技术有限公司、蚂蚁科技集团股份有限公司、支付宝（中国）网络技术有限公司、友盟同欣（北京）科技有限公司、北京三快在线科技有限公司、北京火山引擎科技有限公司、深圳腾讯控股有限公司、上海寻梦信息技术有限公司、北京京东世纪贸易有限公司</w:t>
            </w:r>
          </w:p>
        </w:tc>
        <w:tc>
          <w:tcPr>
            <w:tcW w:w="1985" w:type="dxa"/>
            <w:tcBorders>
              <w:top w:val="nil"/>
              <w:left w:val="nil"/>
              <w:bottom w:val="single" w:color="auto" w:sz="4" w:space="0"/>
              <w:right w:val="single" w:color="auto" w:sz="4" w:space="0"/>
            </w:tcBorders>
            <w:vAlign w:val="center"/>
          </w:tcPr>
          <w:p>
            <w:pPr>
              <w:widowControl/>
              <w:spacing w:before="75" w:after="75"/>
              <w:jc w:val="left"/>
              <w:rPr>
                <w:kern w:val="0"/>
                <w:szCs w:val="21"/>
              </w:rPr>
            </w:pPr>
            <w:r>
              <w:rPr>
                <w:rFonts w:hint="eastAsia" w:ascii="微软雅黑" w:hAnsi="微软雅黑" w:eastAsia="微软雅黑"/>
                <w:kern w:val="0"/>
                <w:sz w:val="16"/>
                <w:szCs w:val="16"/>
              </w:rPr>
              <w:t>400-800-1688</w:t>
            </w:r>
          </w:p>
          <w:p>
            <w:pPr>
              <w:widowControl/>
              <w:spacing w:before="75" w:after="75"/>
              <w:jc w:val="left"/>
              <w:rPr>
                <w:kern w:val="0"/>
                <w:szCs w:val="21"/>
              </w:rPr>
            </w:pPr>
            <w:r>
              <w:rPr>
                <w:rFonts w:hint="eastAsia" w:ascii="微软雅黑" w:hAnsi="微软雅黑" w:eastAsia="微软雅黑"/>
                <w:kern w:val="0"/>
                <w:sz w:val="16"/>
                <w:szCs w:val="16"/>
              </w:rPr>
              <w:t>26888888</w:t>
            </w:r>
          </w:p>
          <w:p>
            <w:pPr>
              <w:widowControl/>
              <w:spacing w:before="75" w:after="75"/>
              <w:jc w:val="left"/>
              <w:rPr>
                <w:kern w:val="0"/>
                <w:szCs w:val="21"/>
              </w:rPr>
            </w:pPr>
            <w:r>
              <w:rPr>
                <w:rFonts w:hint="eastAsia" w:ascii="微软雅黑" w:hAnsi="微软雅黑" w:eastAsia="微软雅黑"/>
                <w:kern w:val="0"/>
                <w:sz w:val="16"/>
                <w:szCs w:val="16"/>
              </w:rPr>
              <w:t>95188</w:t>
            </w:r>
          </w:p>
          <w:p>
            <w:pPr>
              <w:widowControl/>
              <w:spacing w:before="75" w:after="75"/>
              <w:jc w:val="left"/>
              <w:rPr>
                <w:kern w:val="0"/>
                <w:szCs w:val="21"/>
              </w:rPr>
            </w:pPr>
            <w:r>
              <w:rPr>
                <w:rFonts w:hint="eastAsia" w:ascii="微软雅黑" w:hAnsi="微软雅黑" w:eastAsia="微软雅黑"/>
                <w:kern w:val="0"/>
                <w:sz w:val="16"/>
                <w:szCs w:val="16"/>
              </w:rPr>
              <w:t>0571-85022088</w:t>
            </w:r>
          </w:p>
          <w:p>
            <w:pPr>
              <w:widowControl/>
              <w:spacing w:before="75" w:after="75"/>
              <w:jc w:val="left"/>
              <w:rPr>
                <w:kern w:val="0"/>
                <w:szCs w:val="21"/>
              </w:rPr>
            </w:pPr>
            <w:r>
              <w:rPr>
                <w:rFonts w:hint="eastAsia" w:ascii="微软雅黑" w:hAnsi="微软雅黑" w:eastAsia="微软雅黑"/>
                <w:kern w:val="0"/>
                <w:sz w:val="16"/>
                <w:szCs w:val="16"/>
              </w:rPr>
              <w:t>010-56114477</w:t>
            </w:r>
          </w:p>
          <w:p>
            <w:pPr>
              <w:widowControl/>
              <w:spacing w:before="75" w:after="75"/>
              <w:jc w:val="left"/>
              <w:rPr>
                <w:kern w:val="0"/>
                <w:szCs w:val="21"/>
              </w:rPr>
            </w:pPr>
            <w:r>
              <w:rPr>
                <w:rFonts w:hint="eastAsia" w:ascii="微软雅黑" w:hAnsi="微软雅黑" w:eastAsia="微软雅黑"/>
                <w:kern w:val="0"/>
                <w:sz w:val="16"/>
                <w:szCs w:val="16"/>
              </w:rPr>
              <w:t>010-58341751</w:t>
            </w:r>
          </w:p>
          <w:p>
            <w:pPr>
              <w:widowControl/>
              <w:spacing w:before="75" w:after="75"/>
              <w:jc w:val="left"/>
              <w:rPr>
                <w:kern w:val="0"/>
                <w:szCs w:val="21"/>
              </w:rPr>
            </w:pPr>
            <w:r>
              <w:rPr>
                <w:rFonts w:hint="eastAsia" w:ascii="微软雅黑" w:hAnsi="微软雅黑" w:eastAsia="微软雅黑"/>
                <w:kern w:val="0"/>
                <w:sz w:val="16"/>
                <w:szCs w:val="16"/>
              </w:rPr>
              <w:t>0755-86013388</w:t>
            </w:r>
          </w:p>
          <w:p>
            <w:pPr>
              <w:widowControl/>
              <w:spacing w:before="75" w:after="75"/>
              <w:jc w:val="left"/>
              <w:rPr>
                <w:kern w:val="0"/>
                <w:szCs w:val="21"/>
              </w:rPr>
            </w:pPr>
            <w:r>
              <w:rPr>
                <w:rFonts w:hint="eastAsia" w:ascii="微软雅黑" w:hAnsi="微软雅黑" w:eastAsia="微软雅黑"/>
                <w:kern w:val="0"/>
                <w:sz w:val="16"/>
                <w:szCs w:val="16"/>
              </w:rPr>
              <w:t>400-8822-528</w:t>
            </w:r>
          </w:p>
          <w:p>
            <w:pPr>
              <w:widowControl/>
              <w:spacing w:before="75" w:after="75"/>
              <w:jc w:val="left"/>
              <w:rPr>
                <w:kern w:val="0"/>
                <w:szCs w:val="21"/>
              </w:rPr>
            </w:pPr>
            <w:r>
              <w:rPr>
                <w:rFonts w:hint="eastAsia" w:ascii="微软雅黑" w:hAnsi="微软雅黑" w:eastAsia="微软雅黑"/>
                <w:kern w:val="0"/>
                <w:sz w:val="16"/>
                <w:szCs w:val="16"/>
              </w:rPr>
              <w:t>010-89118888</w:t>
            </w:r>
          </w:p>
          <w:p>
            <w:pPr>
              <w:widowControl/>
              <w:jc w:val="left"/>
              <w:rPr>
                <w:rFonts w:ascii="微软雅黑" w:hAnsi="微软雅黑" w:eastAsia="微软雅黑" w:cs="宋体"/>
                <w:kern w:val="0"/>
                <w:sz w:val="16"/>
                <w:szCs w:val="16"/>
              </w:rPr>
            </w:pPr>
          </w:p>
        </w:tc>
      </w:tr>
      <w:tr>
        <w:tblPrEx>
          <w:tblCellMar>
            <w:top w:w="0" w:type="dxa"/>
            <w:left w:w="108" w:type="dxa"/>
            <w:bottom w:w="0" w:type="dxa"/>
            <w:right w:w="108" w:type="dxa"/>
          </w:tblCellMar>
        </w:tblPrEx>
        <w:trPr>
          <w:trHeight w:val="540" w:hRule="atLeast"/>
        </w:trPr>
        <w:tc>
          <w:tcPr>
            <w:tcW w:w="396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高德amap定位信息、用户高德导航数据、用户使用的嵌有高德SDK的APP回传的定位数据、用户使用的嵌有高德SDK的APP回传的WIFI数据、APP使用行为数据、用户设备信息</w:t>
            </w:r>
          </w:p>
        </w:tc>
        <w:tc>
          <w:tcPr>
            <w:tcW w:w="3403"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高德软件有限公司</w:t>
            </w:r>
          </w:p>
        </w:tc>
        <w:tc>
          <w:tcPr>
            <w:tcW w:w="1985" w:type="dxa"/>
            <w:tcBorders>
              <w:top w:val="nil"/>
              <w:left w:val="nil"/>
              <w:bottom w:val="single" w:color="auto" w:sz="4" w:space="0"/>
              <w:right w:val="single" w:color="auto" w:sz="4" w:space="0"/>
            </w:tcBorders>
            <w:vAlign w:val="center"/>
          </w:tcPr>
          <w:p>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lang w:bidi="ar"/>
              </w:rPr>
              <w:t>0571-85022088</w:t>
            </w:r>
          </w:p>
        </w:tc>
      </w:tr>
    </w:tbl>
    <w:p>
      <w:pPr>
        <w:ind w:left="0" w:firstLine="570"/>
        <w:jc w:val="left"/>
        <w:rPr>
          <w:rFonts w:ascii="仿宋" w:hAnsi="仿宋" w:eastAsia="仿宋"/>
          <w:sz w:val="32"/>
          <w:szCs w:val="32"/>
          <w:lang w:bidi="ar"/>
        </w:rPr>
      </w:pPr>
    </w:p>
    <w:p>
      <w:pPr>
        <w:ind w:left="0" w:firstLine="570"/>
        <w:jc w:val="left"/>
        <w:rPr>
          <w:rFonts w:ascii="仿宋" w:hAnsi="仿宋" w:eastAsia="仿宋"/>
          <w:sz w:val="32"/>
          <w:szCs w:val="32"/>
          <w:lang w:bidi="ar"/>
        </w:rPr>
      </w:pPr>
    </w:p>
    <w:p>
      <w:pPr>
        <w:numPr>
          <w:ilvl w:val="255"/>
          <w:numId w:val="0"/>
        </w:numPr>
        <w:ind w:firstLine="643" w:firstLineChars="200"/>
        <w:rPr>
          <w:rFonts w:ascii="黑体" w:hAnsi="黑体" w:eastAsia="黑体"/>
          <w:b/>
          <w:sz w:val="32"/>
          <w:szCs w:val="32"/>
          <w:highlight w:val="yellow"/>
        </w:rPr>
      </w:pPr>
      <w:r>
        <w:rPr>
          <w:rFonts w:hint="eastAsia" w:ascii="黑体" w:hAnsi="黑体" w:eastAsia="黑体"/>
          <w:b/>
          <w:sz w:val="32"/>
          <w:szCs w:val="32"/>
        </w:rPr>
        <w:t>十四、</w:t>
      </w:r>
      <w:r>
        <w:rPr>
          <w:rFonts w:ascii="黑体" w:hAnsi="黑体" w:eastAsia="黑体"/>
          <w:b/>
          <w:sz w:val="32"/>
          <w:szCs w:val="32"/>
        </w:rPr>
        <w:t>为了提升服务体验和提升申请人对招商银行产品信息的全面了解，申请人授权同意招商银行可基于</w:t>
      </w:r>
      <w:r>
        <w:rPr>
          <w:rFonts w:hint="eastAsia" w:ascii="黑体" w:hAnsi="黑体" w:eastAsia="黑体"/>
          <w:b/>
          <w:sz w:val="32"/>
          <w:szCs w:val="32"/>
        </w:rPr>
        <w:t>第十二条、第十三条</w:t>
      </w:r>
      <w:r>
        <w:rPr>
          <w:rFonts w:ascii="黑体" w:hAnsi="黑体" w:eastAsia="黑体"/>
          <w:b/>
          <w:sz w:val="32"/>
          <w:szCs w:val="32"/>
        </w:rPr>
        <w:t>规定的信息处理基础上，为申请人提供金融产品及服务的营销推荐、资产配置、客户权益推介等相关服务。如果申请人不希望接收相关推荐，可按照招商银行提示的方法选择退订：（1）申请人可通过短信（回复</w:t>
      </w:r>
      <w:r>
        <w:rPr>
          <w:rFonts w:hint="eastAsia" w:ascii="黑体" w:hAnsi="黑体" w:eastAsia="黑体"/>
          <w:b/>
          <w:sz w:val="32"/>
          <w:szCs w:val="32"/>
        </w:rPr>
        <w:t>R</w:t>
      </w:r>
      <w:r>
        <w:rPr>
          <w:rFonts w:ascii="黑体" w:hAnsi="黑体" w:eastAsia="黑体"/>
          <w:b/>
          <w:sz w:val="32"/>
          <w:szCs w:val="32"/>
        </w:rPr>
        <w:t>发送）、邮件、消息推送设置、企业微信等方式进行信息退订或者关闭</w:t>
      </w:r>
      <w:r>
        <w:rPr>
          <w:rFonts w:hint="eastAsia" w:ascii="黑体" w:hAnsi="黑体" w:eastAsia="黑体"/>
          <w:b/>
          <w:sz w:val="32"/>
          <w:szCs w:val="32"/>
        </w:rPr>
        <w:t>；</w:t>
      </w:r>
      <w:r>
        <w:rPr>
          <w:rFonts w:ascii="黑体" w:hAnsi="黑体" w:eastAsia="黑体"/>
          <w:b/>
          <w:sz w:val="32"/>
          <w:szCs w:val="32"/>
        </w:rPr>
        <w:t>或</w:t>
      </w:r>
      <w:r>
        <w:rPr>
          <w:rFonts w:hint="eastAsia" w:ascii="黑体" w:hAnsi="黑体" w:eastAsia="黑体"/>
          <w:b/>
          <w:sz w:val="32"/>
          <w:szCs w:val="32"/>
        </w:rPr>
        <w:t>（2）</w:t>
      </w:r>
      <w:r>
        <w:rPr>
          <w:rFonts w:ascii="黑体" w:hAnsi="黑体" w:eastAsia="黑体"/>
          <w:b/>
          <w:sz w:val="32"/>
          <w:szCs w:val="32"/>
        </w:rPr>
        <w:t>通过招商银行客户服务电话95555进行取消。当申请人执行上述操作后，招商银行将无法继续为申请人提供撤回同意或授权所对应的服务，但不会影响此前基于申请人的授权已经开展的个人信息处理。</w:t>
      </w:r>
    </w:p>
    <w:p>
      <w:pPr>
        <w:ind w:left="61" w:leftChars="29" w:firstLine="640" w:firstLineChars="200"/>
        <w:rPr>
          <w:rFonts w:ascii="黑体" w:hAnsi="黑体" w:eastAsia="黑体"/>
          <w:b/>
          <w:sz w:val="32"/>
          <w:szCs w:val="32"/>
        </w:rPr>
      </w:pPr>
      <w:r>
        <w:rPr>
          <w:rFonts w:hint="eastAsia" w:ascii="仿宋" w:hAnsi="仿宋" w:eastAsia="仿宋" w:cs="Calibri"/>
          <w:sz w:val="32"/>
          <w:szCs w:val="32"/>
        </w:rPr>
        <w:t>十五、</w:t>
      </w:r>
      <w:r>
        <w:rPr>
          <w:rFonts w:hint="eastAsia" w:ascii="黑体" w:hAnsi="黑体" w:eastAsia="黑体"/>
          <w:b/>
          <w:sz w:val="32"/>
          <w:szCs w:val="32"/>
        </w:rPr>
        <w:t>如申请人账户用于</w:t>
      </w:r>
      <w:r>
        <w:rPr>
          <w:rFonts w:hint="eastAsia" w:ascii="黑体" w:hAnsi="黑体" w:eastAsia="黑体" w:cs="微软雅黑"/>
          <w:b/>
          <w:sz w:val="32"/>
          <w:szCs w:val="32"/>
        </w:rPr>
        <w:t>非法平台收款、赌博、毒品买卖等违法违规活动，或招商银行有合理理由怀疑账户、</w:t>
      </w:r>
      <w:r>
        <w:rPr>
          <w:rFonts w:hint="eastAsia" w:ascii="黑体" w:hAnsi="黑体" w:eastAsia="黑体"/>
          <w:b/>
          <w:sz w:val="32"/>
          <w:szCs w:val="32"/>
        </w:rPr>
        <w:t>交易与洗钱、恐怖融资、扩散融资等</w:t>
      </w:r>
      <w:r>
        <w:rPr>
          <w:rFonts w:hint="eastAsia" w:ascii="黑体" w:hAnsi="黑体" w:eastAsia="黑体" w:cs="微软雅黑"/>
          <w:b/>
          <w:sz w:val="32"/>
          <w:szCs w:val="32"/>
        </w:rPr>
        <w:t>犯罪活动相关，</w:t>
      </w:r>
      <w:r>
        <w:rPr>
          <w:rFonts w:hint="eastAsia" w:ascii="黑体" w:hAnsi="黑体" w:eastAsia="黑体"/>
          <w:b/>
          <w:sz w:val="32"/>
          <w:szCs w:val="32"/>
        </w:rPr>
        <w:t>或涉</w:t>
      </w:r>
      <w:r>
        <w:rPr>
          <w:rFonts w:hint="eastAsia" w:ascii="黑体" w:hAnsi="黑体" w:eastAsia="黑体" w:cs="微软雅黑"/>
          <w:b/>
          <w:sz w:val="32"/>
          <w:szCs w:val="32"/>
        </w:rPr>
        <w:t>嫌</w:t>
      </w:r>
      <w:r>
        <w:rPr>
          <w:rFonts w:hint="eastAsia" w:ascii="黑体" w:hAnsi="黑体" w:eastAsia="黑体"/>
          <w:b/>
          <w:sz w:val="32"/>
          <w:szCs w:val="32"/>
        </w:rPr>
        <w:t>违反联合国、我国等国际组织或者国家发布的可适用的制裁项目时，招商银行有权采取相应的交易限制措施（包括但不限于停止金融账户的开立、变更、撤销和使用，暂停金融交易，拒绝转移、转换金融资产）；如招商银行通知申请人于规定期限内办理销户手续，申请人逾期未办理则视同自愿销户，招商银行可以停止该账户金融服务并销户，由此造成的责任和损失由申请人自行承担。</w:t>
      </w:r>
    </w:p>
    <w:p>
      <w:pPr>
        <w:ind w:left="61" w:leftChars="29" w:firstLine="643" w:firstLineChars="200"/>
        <w:rPr>
          <w:rFonts w:ascii="黑体" w:hAnsi="黑体" w:eastAsia="黑体"/>
          <w:b/>
          <w:sz w:val="32"/>
          <w:szCs w:val="32"/>
        </w:rPr>
      </w:pPr>
      <w:r>
        <w:rPr>
          <w:rFonts w:hint="eastAsia" w:ascii="黑体" w:hAnsi="黑体" w:eastAsia="黑体"/>
          <w:b/>
          <w:sz w:val="32"/>
          <w:szCs w:val="32"/>
        </w:rPr>
        <w:t>申请人应当依照可适用的法律法规使用招商银行提供的金融服务，如招商银行发现申请人或申请人重要关联方（包括但不限于配偶、父母、子女等关系密切的家庭成员以及关联公司的法定代表人、实际控制人、受益所有人、重要投资人、重要被投资人、授权签字人、重要债权人等）存在洗钱或者被制裁风险</w:t>
      </w:r>
      <w:r>
        <w:rPr>
          <w:rFonts w:hint="eastAsia" w:ascii="黑体" w:hAnsi="黑体" w:eastAsia="黑体"/>
          <w:b/>
          <w:sz w:val="32"/>
          <w:szCs w:val="32"/>
          <w:lang w:eastAsia="zh-CN"/>
        </w:rPr>
        <w:t>（</w:t>
      </w:r>
      <w:r>
        <w:rPr>
          <w:rFonts w:hint="eastAsia" w:ascii="黑体" w:hAnsi="黑体" w:eastAsia="黑体"/>
          <w:b/>
          <w:sz w:val="32"/>
          <w:szCs w:val="32"/>
          <w:lang w:val="en-US" w:eastAsia="zh-CN"/>
        </w:rPr>
        <w:t>包括但不限于</w:t>
      </w:r>
      <w:r>
        <w:rPr>
          <w:rFonts w:hint="eastAsia" w:ascii="黑体" w:hAnsi="黑体" w:eastAsia="黑体"/>
          <w:b/>
          <w:sz w:val="32"/>
          <w:szCs w:val="32"/>
        </w:rPr>
        <w:t>涉及</w:t>
      </w:r>
      <w:r>
        <w:rPr>
          <w:rFonts w:hint="eastAsia" w:ascii="黑体" w:hAnsi="黑体" w:eastAsia="黑体"/>
          <w:b/>
          <w:sz w:val="32"/>
          <w:szCs w:val="32"/>
          <w:lang w:val="en-US" w:eastAsia="zh-CN"/>
        </w:rPr>
        <w:t>我国、</w:t>
      </w:r>
      <w:r>
        <w:rPr>
          <w:rFonts w:hint="eastAsia" w:ascii="黑体" w:hAnsi="黑体" w:eastAsia="黑体"/>
          <w:b/>
          <w:sz w:val="32"/>
          <w:szCs w:val="32"/>
        </w:rPr>
        <w:t>联合国</w:t>
      </w:r>
      <w:r>
        <w:rPr>
          <w:rFonts w:hint="eastAsia" w:ascii="黑体" w:hAnsi="黑体" w:eastAsia="黑体"/>
          <w:b/>
          <w:sz w:val="32"/>
          <w:szCs w:val="32"/>
          <w:lang w:val="en-US" w:eastAsia="zh-CN"/>
        </w:rPr>
        <w:t>及其他国家或者</w:t>
      </w:r>
      <w:r>
        <w:rPr>
          <w:rFonts w:hint="eastAsia" w:ascii="黑体" w:hAnsi="黑体" w:eastAsia="黑体"/>
          <w:b/>
          <w:sz w:val="32"/>
          <w:szCs w:val="32"/>
        </w:rPr>
        <w:t>国际组织发布的监控名单或者制裁事项</w:t>
      </w:r>
      <w:r>
        <w:rPr>
          <w:rFonts w:hint="eastAsia" w:ascii="黑体" w:hAnsi="黑体" w:eastAsia="黑体"/>
          <w:b/>
          <w:sz w:val="32"/>
          <w:szCs w:val="32"/>
          <w:lang w:eastAsia="zh-CN"/>
        </w:rPr>
        <w:t>）</w:t>
      </w:r>
      <w:r>
        <w:rPr>
          <w:rFonts w:hint="eastAsia" w:ascii="黑体" w:hAnsi="黑体" w:eastAsia="黑体"/>
          <w:b/>
          <w:sz w:val="32"/>
          <w:szCs w:val="32"/>
        </w:rPr>
        <w:t>，提供不实、不完整或者无效的身份或交易信息，未依照本须知要求及时更新身份证明文件，或在使用</w:t>
      </w:r>
      <w:r>
        <w:rPr>
          <w:rFonts w:hint="eastAsia" w:ascii="黑体" w:hAnsi="黑体" w:eastAsia="黑体"/>
          <w:b/>
          <w:sz w:val="32"/>
          <w:szCs w:val="32"/>
          <w:lang w:val="en-US" w:eastAsia="zh-CN"/>
        </w:rPr>
        <w:t>招商银行</w:t>
      </w:r>
      <w:r>
        <w:rPr>
          <w:rFonts w:hint="eastAsia" w:ascii="黑体" w:hAnsi="黑体" w:eastAsia="黑体"/>
          <w:b/>
          <w:sz w:val="32"/>
          <w:szCs w:val="32"/>
        </w:rPr>
        <w:t>金融服务中出现其他违反适用法律法规的情况等，招商银行有权单方对申请人采取拒绝开户申请、限制交易、停止支付及终止账户业务等一项或多项措施，并可要求申请人配合尽职调查、补充证明文件或者在指定期限内办理销户及其他相关手续。申请人逾期未办理的，招商银行可单方予以销户。招商银行因申请人</w:t>
      </w:r>
      <w:r>
        <w:rPr>
          <w:rFonts w:hint="eastAsia" w:ascii="黑体" w:hAnsi="黑体" w:eastAsia="黑体"/>
          <w:b/>
          <w:sz w:val="32"/>
          <w:szCs w:val="32"/>
          <w:lang w:val="en-US" w:eastAsia="zh-CN"/>
        </w:rPr>
        <w:t>或其重要关联方</w:t>
      </w:r>
      <w:r>
        <w:rPr>
          <w:rFonts w:hint="eastAsia" w:ascii="黑体" w:hAnsi="黑体" w:eastAsia="黑体"/>
          <w:b/>
          <w:sz w:val="32"/>
          <w:szCs w:val="32"/>
        </w:rPr>
        <w:t>出现本条所述的风险情况而采取上述措施所造成的责任和损失由申请人自行承担。申请人同时还应承担对招商银行由此可能产生的损失承担赔偿责任。招商银行有权直接从申请人账户扣款对招商银行所受损失予以弥补。</w:t>
      </w:r>
    </w:p>
    <w:p>
      <w:pPr>
        <w:ind w:left="61" w:leftChars="29" w:firstLine="480" w:firstLineChars="150"/>
        <w:rPr>
          <w:rFonts w:ascii="仿宋_GB2312" w:eastAsia="仿宋_GB2312"/>
          <w:b/>
          <w:sz w:val="32"/>
          <w:szCs w:val="32"/>
          <w:highlight w:val="none"/>
        </w:rPr>
      </w:pPr>
      <w:r>
        <w:rPr>
          <w:rFonts w:hint="eastAsia" w:ascii="仿宋" w:hAnsi="仿宋" w:eastAsia="仿宋"/>
          <w:sz w:val="32"/>
          <w:szCs w:val="32"/>
        </w:rPr>
        <w:t>十</w:t>
      </w:r>
      <w:r>
        <w:rPr>
          <w:rFonts w:hint="eastAsia" w:ascii="仿宋" w:hAnsi="仿宋" w:eastAsia="仿宋" w:cs="微软雅黑"/>
          <w:sz w:val="32"/>
          <w:szCs w:val="32"/>
        </w:rPr>
        <w:t>六</w:t>
      </w:r>
      <w:r>
        <w:rPr>
          <w:rFonts w:hint="eastAsia" w:ascii="仿宋" w:hAnsi="仿宋" w:eastAsia="仿宋"/>
          <w:sz w:val="32"/>
          <w:szCs w:val="32"/>
        </w:rPr>
        <w:t>、招商银行通过</w:t>
      </w:r>
      <w:r>
        <w:rPr>
          <w:rFonts w:ascii="仿宋" w:hAnsi="仿宋" w:eastAsia="仿宋"/>
          <w:sz w:val="32"/>
          <w:szCs w:val="32"/>
        </w:rPr>
        <w:t>95555</w:t>
      </w:r>
      <w:r>
        <w:rPr>
          <w:rFonts w:hint="eastAsia" w:ascii="仿宋" w:hAnsi="仿宋" w:eastAsia="仿宋"/>
          <w:sz w:val="32"/>
          <w:szCs w:val="32"/>
        </w:rPr>
        <w:t>、</w:t>
      </w:r>
      <w:r>
        <w:rPr>
          <w:rFonts w:ascii="仿宋" w:hAnsi="仿宋" w:eastAsia="仿宋" w:cs="仿宋"/>
          <w:sz w:val="32"/>
          <w:szCs w:val="32"/>
        </w:rPr>
        <w:t>10693495555</w:t>
      </w:r>
      <w:r>
        <w:rPr>
          <w:rFonts w:hint="eastAsia" w:ascii="仿宋" w:hAnsi="仿宋" w:eastAsia="仿宋"/>
          <w:sz w:val="32"/>
          <w:szCs w:val="32"/>
        </w:rPr>
        <w:t>和106929395555等短信</w:t>
      </w:r>
      <w:r>
        <w:rPr>
          <w:rFonts w:hint="eastAsia" w:ascii="仿宋" w:hAnsi="仿宋" w:eastAsia="仿宋" w:cs="微软雅黑"/>
          <w:sz w:val="32"/>
          <w:szCs w:val="32"/>
        </w:rPr>
        <w:t>端</w:t>
      </w:r>
      <w:r>
        <w:rPr>
          <w:rFonts w:hint="eastAsia" w:ascii="仿宋" w:hAnsi="仿宋" w:eastAsia="仿宋"/>
          <w:sz w:val="32"/>
          <w:szCs w:val="32"/>
        </w:rPr>
        <w:t>口，招商银行App和</w:t>
      </w:r>
      <w:r>
        <w:fldChar w:fldCharType="begin"/>
      </w:r>
      <w:r>
        <w:instrText xml:space="preserve"> HYPERLINK "http://www.cmbchina.com" </w:instrText>
      </w:r>
      <w:r>
        <w:fldChar w:fldCharType="separate"/>
      </w:r>
      <w:r>
        <w:rPr>
          <w:rFonts w:ascii="仿宋" w:hAnsi="仿宋" w:eastAsia="仿宋"/>
          <w:sz w:val="32"/>
          <w:szCs w:val="32"/>
        </w:rPr>
        <w:t>www.cmbchina.com</w:t>
      </w:r>
      <w:r>
        <w:rPr>
          <w:rFonts w:ascii="仿宋" w:hAnsi="仿宋" w:eastAsia="仿宋"/>
          <w:sz w:val="32"/>
          <w:szCs w:val="32"/>
        </w:rPr>
        <w:fldChar w:fldCharType="end"/>
      </w:r>
      <w:r>
        <w:rPr>
          <w:rFonts w:hint="eastAsia" w:ascii="仿宋" w:hAnsi="仿宋" w:eastAsia="仿宋"/>
          <w:sz w:val="32"/>
          <w:szCs w:val="32"/>
        </w:rPr>
        <w:t>官方网站等向申请人发送短信通知或提供电子银行等服务。</w:t>
      </w:r>
      <w:r>
        <w:rPr>
          <w:rFonts w:hint="eastAsia" w:ascii="黑体" w:hAnsi="黑体" w:eastAsia="黑体"/>
          <w:b/>
          <w:sz w:val="32"/>
          <w:szCs w:val="32"/>
        </w:rPr>
        <w:t>申请人使用各种渠道时应仔细辨别是否属于招商银行官方指定渠道，如申请人通过或信赖其他非招商银行指定网址、电话号码等方式办理电子银行业务造</w:t>
      </w:r>
      <w:r>
        <w:rPr>
          <w:rFonts w:hint="eastAsia" w:ascii="黑体" w:hAnsi="黑体" w:eastAsia="黑体"/>
          <w:b/>
          <w:sz w:val="32"/>
          <w:szCs w:val="32"/>
          <w:highlight w:val="none"/>
        </w:rPr>
        <w:t>成的资金损失，由申请人自行承担。</w:t>
      </w:r>
    </w:p>
    <w:p>
      <w:pPr>
        <w:ind w:left="61" w:leftChars="29" w:firstLine="480" w:firstLineChars="150"/>
        <w:rPr>
          <w:rFonts w:ascii="黑体" w:hAnsi="黑体" w:eastAsia="黑体"/>
          <w:b/>
          <w:sz w:val="32"/>
          <w:szCs w:val="32"/>
        </w:rPr>
      </w:pPr>
      <w:r>
        <w:rPr>
          <w:rFonts w:hint="eastAsia" w:ascii="仿宋" w:hAnsi="仿宋" w:eastAsia="仿宋"/>
          <w:sz w:val="32"/>
          <w:szCs w:val="32"/>
          <w:highlight w:val="none"/>
        </w:rPr>
        <w:t>十七、个人账户开立后，申请人可以将其名下银行账户与第三方非银行支付机构</w:t>
      </w:r>
      <w:r>
        <w:rPr>
          <w:rFonts w:hint="eastAsia" w:ascii="仿宋" w:hAnsi="仿宋" w:eastAsia="仿宋"/>
          <w:sz w:val="32"/>
          <w:szCs w:val="32"/>
          <w:highlight w:val="none"/>
          <w:lang w:eastAsia="zh-CN"/>
        </w:rPr>
        <w:t>、</w:t>
      </w:r>
      <w:r>
        <w:rPr>
          <w:rFonts w:hint="eastAsia" w:ascii="仿宋" w:hAnsi="仿宋" w:eastAsia="仿宋"/>
          <w:sz w:val="32"/>
          <w:szCs w:val="32"/>
          <w:highlight w:val="none"/>
        </w:rPr>
        <w:t>商业机构（包括但不限于本行特约商户、银行卡收单机构）等建立关联业务，包括但不限于快捷支付、商业委托支付（自动扣款）等网络支付交易。该类网络支付交易按照申请人与第三方支付机构、商业机构约定的方式进行身份核验，招商银行将根据第三方支付机构、商业机构的指令进行签约、解约、扣款等操作。</w:t>
      </w:r>
      <w:r>
        <w:rPr>
          <w:rFonts w:hint="eastAsia" w:ascii="黑体" w:hAnsi="黑体" w:eastAsia="黑体"/>
          <w:b/>
          <w:sz w:val="32"/>
          <w:szCs w:val="32"/>
          <w:highlight w:val="none"/>
        </w:rPr>
        <w:t>申请人知悉其与第三方非银行支付机构、商业</w:t>
      </w:r>
      <w:r>
        <w:rPr>
          <w:rFonts w:hint="eastAsia" w:ascii="黑体" w:hAnsi="黑体" w:eastAsia="黑体"/>
          <w:b/>
          <w:bCs w:val="0"/>
          <w:sz w:val="32"/>
          <w:szCs w:val="32"/>
          <w:highlight w:val="none"/>
        </w:rPr>
        <w:t>机</w:t>
      </w:r>
      <w:r>
        <w:rPr>
          <w:rFonts w:hint="eastAsia" w:ascii="黑体" w:hAnsi="黑体" w:eastAsia="黑体" w:cs="Times New Roman"/>
          <w:b/>
          <w:sz w:val="32"/>
          <w:szCs w:val="32"/>
          <w:highlight w:val="none"/>
        </w:rPr>
        <w:t>构等</w:t>
      </w:r>
      <w:r>
        <w:rPr>
          <w:rFonts w:hint="eastAsia" w:ascii="黑体" w:hAnsi="黑体" w:eastAsia="黑体"/>
          <w:b/>
          <w:sz w:val="32"/>
          <w:szCs w:val="32"/>
          <w:highlight w:val="none"/>
        </w:rPr>
        <w:t>建立</w:t>
      </w:r>
      <w:r>
        <w:rPr>
          <w:rFonts w:hint="eastAsia" w:ascii="黑体" w:hAnsi="黑体" w:eastAsia="黑体"/>
          <w:b/>
          <w:sz w:val="32"/>
          <w:szCs w:val="32"/>
        </w:rPr>
        <w:t>关联业务时，其在招商银行开立个人账户的姓名、证件号码、银行卡号、手机号码等个人信息可能被非银行支付机构或商业机构、银行卡清算机构采集、保存和使用，申请人应审慎建立关联业务，妥善保管个人信息，</w:t>
      </w:r>
      <w:r>
        <w:rPr>
          <w:rFonts w:hint="eastAsia" w:ascii="黑体" w:hAnsi="黑体" w:eastAsia="黑体"/>
          <w:b/>
          <w:sz w:val="32"/>
          <w:szCs w:val="32"/>
          <w:lang w:val="en-US" w:eastAsia="zh-CN"/>
        </w:rPr>
        <w:t>审慎设置</w:t>
      </w:r>
      <w:r>
        <w:rPr>
          <w:rFonts w:hint="eastAsia" w:ascii="黑体" w:hAnsi="黑体" w:eastAsia="黑体"/>
          <w:b/>
          <w:sz w:val="32"/>
          <w:szCs w:val="32"/>
        </w:rPr>
        <w:t>个人账户交易密码。因申请人保管不善泄露个人信息或其它</w:t>
      </w:r>
      <w:r>
        <w:rPr>
          <w:rFonts w:hint="eastAsia" w:ascii="黑体" w:hAnsi="黑体" w:eastAsia="黑体"/>
          <w:b/>
          <w:sz w:val="32"/>
          <w:szCs w:val="32"/>
          <w:lang w:val="en-US" w:eastAsia="zh-CN"/>
        </w:rPr>
        <w:t>非招商银行原因</w:t>
      </w:r>
      <w:r>
        <w:rPr>
          <w:rFonts w:hint="eastAsia" w:ascii="黑体" w:hAnsi="黑体" w:eastAsia="黑体"/>
          <w:b/>
          <w:sz w:val="32"/>
          <w:szCs w:val="32"/>
        </w:rPr>
        <w:t>造成的关联业务支付</w:t>
      </w:r>
      <w:r>
        <w:rPr>
          <w:rFonts w:hint="eastAsia" w:ascii="黑体" w:hAnsi="黑体" w:eastAsia="黑体"/>
          <w:b/>
          <w:sz w:val="32"/>
          <w:szCs w:val="32"/>
          <w:lang w:val="en-US" w:eastAsia="zh-CN"/>
        </w:rPr>
        <w:t>产生的</w:t>
      </w:r>
      <w:r>
        <w:rPr>
          <w:rFonts w:hint="eastAsia" w:ascii="黑体" w:hAnsi="黑体" w:eastAsia="黑体"/>
          <w:b/>
          <w:sz w:val="32"/>
          <w:szCs w:val="32"/>
        </w:rPr>
        <w:t>损失</w:t>
      </w:r>
      <w:r>
        <w:rPr>
          <w:rFonts w:hint="eastAsia" w:ascii="黑体" w:hAnsi="黑体" w:eastAsia="黑体"/>
          <w:b/>
          <w:sz w:val="32"/>
          <w:szCs w:val="32"/>
          <w:lang w:val="en-US" w:eastAsia="zh-CN"/>
        </w:rPr>
        <w:t>和</w:t>
      </w:r>
      <w:r>
        <w:rPr>
          <w:rFonts w:hint="eastAsia" w:ascii="黑体" w:hAnsi="黑体" w:eastAsia="黑体"/>
          <w:b/>
          <w:sz w:val="32"/>
          <w:szCs w:val="32"/>
        </w:rPr>
        <w:t>风险等后果</w:t>
      </w:r>
      <w:r>
        <w:rPr>
          <w:rFonts w:hint="eastAsia" w:ascii="黑体" w:hAnsi="黑体" w:eastAsia="黑体"/>
          <w:b/>
          <w:sz w:val="32"/>
          <w:szCs w:val="32"/>
          <w:lang w:eastAsia="zh-CN"/>
        </w:rPr>
        <w:t>，</w:t>
      </w:r>
      <w:r>
        <w:rPr>
          <w:rFonts w:hint="eastAsia" w:ascii="黑体" w:hAnsi="黑体" w:eastAsia="黑体"/>
          <w:b/>
          <w:sz w:val="32"/>
          <w:szCs w:val="32"/>
          <w:lang w:val="en-US" w:eastAsia="zh-CN"/>
        </w:rPr>
        <w:t>招商银行不</w:t>
      </w:r>
      <w:r>
        <w:rPr>
          <w:rFonts w:hint="eastAsia" w:ascii="黑体" w:hAnsi="黑体" w:eastAsia="黑体"/>
          <w:b/>
          <w:sz w:val="32"/>
          <w:szCs w:val="32"/>
        </w:rPr>
        <w:t>承担</w:t>
      </w:r>
      <w:r>
        <w:rPr>
          <w:rFonts w:hint="eastAsia" w:ascii="黑体" w:hAnsi="黑体" w:eastAsia="黑体"/>
          <w:b/>
          <w:sz w:val="32"/>
          <w:szCs w:val="32"/>
          <w:lang w:val="en-US" w:eastAsia="zh-CN"/>
        </w:rPr>
        <w:t>责任</w:t>
      </w:r>
      <w:r>
        <w:rPr>
          <w:rFonts w:hint="eastAsia" w:ascii="黑体" w:hAnsi="黑体" w:eastAsia="黑体"/>
          <w:b/>
          <w:sz w:val="32"/>
          <w:szCs w:val="32"/>
        </w:rPr>
        <w:t>。</w:t>
      </w:r>
    </w:p>
    <w:p>
      <w:pPr>
        <w:ind w:left="61" w:leftChars="29" w:firstLine="640" w:firstLineChars="200"/>
        <w:rPr>
          <w:rFonts w:ascii="黑体" w:hAnsi="黑体" w:eastAsia="黑体"/>
          <w:sz w:val="32"/>
          <w:szCs w:val="32"/>
        </w:rPr>
      </w:pPr>
      <w:r>
        <w:rPr>
          <w:rFonts w:hint="eastAsia" w:ascii="仿宋" w:hAnsi="仿宋" w:eastAsia="仿宋"/>
          <w:sz w:val="32"/>
          <w:szCs w:val="32"/>
        </w:rPr>
        <w:t>十八、</w:t>
      </w:r>
      <w:r>
        <w:rPr>
          <w:rFonts w:hint="eastAsia" w:ascii="黑体" w:hAnsi="黑体" w:eastAsia="黑体"/>
          <w:b/>
          <w:sz w:val="32"/>
          <w:szCs w:val="32"/>
        </w:rPr>
        <w:t>为保证申请人账户的资金安全，招商银行根据监管机构的规定或因风险控管的需要，在申请人使用招商银行电子银行服务过程中，对申请人的异常申请或其账户发生的异常交易可采用交易密码、动态验证码、动态问答、生物识别技术、电话录音声纹比对、人工核实等其中一种或者多种身份鉴别手段，对申请人身份进行核实，并有权在核实确认申请人身份前暂行停止申请人账户的支付、转账等资金交易,或临时关闭申请人账户的部分服务功能，或对申请人“一卡通”</w:t>
      </w:r>
      <w:r>
        <w:rPr>
          <w:rFonts w:ascii="黑体" w:hAnsi="黑体" w:eastAsia="黑体"/>
          <w:b/>
          <w:sz w:val="32"/>
          <w:szCs w:val="32"/>
        </w:rPr>
        <w:t>POS</w:t>
      </w:r>
      <w:r>
        <w:rPr>
          <w:rFonts w:hint="eastAsia" w:ascii="黑体" w:hAnsi="黑体" w:eastAsia="黑体"/>
          <w:b/>
          <w:sz w:val="32"/>
          <w:szCs w:val="32"/>
        </w:rPr>
        <w:t>消费、</w:t>
      </w:r>
      <w:r>
        <w:rPr>
          <w:rFonts w:ascii="黑体" w:hAnsi="黑体" w:eastAsia="黑体"/>
          <w:b/>
          <w:sz w:val="32"/>
          <w:szCs w:val="32"/>
        </w:rPr>
        <w:t>ATM</w:t>
      </w:r>
      <w:r>
        <w:rPr>
          <w:rFonts w:hint="eastAsia" w:ascii="黑体" w:hAnsi="黑体" w:eastAsia="黑体"/>
          <w:b/>
          <w:sz w:val="32"/>
          <w:szCs w:val="32"/>
        </w:rPr>
        <w:t>取款/转账、网上/电话/手机支付或转账等自助渠道交易的额度以及每日在ATM机上取款的最高限额和次数进行调整。</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十九、</w:t>
      </w:r>
      <w:r>
        <w:rPr>
          <w:rFonts w:hint="eastAsia" w:ascii="黑体" w:hAnsi="黑体" w:eastAsia="黑体"/>
          <w:b/>
          <w:sz w:val="32"/>
          <w:szCs w:val="32"/>
        </w:rPr>
        <w:t>根据监管机构关于个人账户分类分级管理的相关规定，招商银行会基于账户申请人的身份基本特征、账户使用情况等信息，为申请人的账户设置相应“非柜面渠道支出限额”，并有权根据申请人的账户风险评估最新情况对该限额进行动态调整。</w:t>
      </w:r>
      <w:r>
        <w:rPr>
          <w:rFonts w:hint="eastAsia" w:ascii="仿宋" w:hAnsi="仿宋" w:eastAsia="仿宋"/>
          <w:sz w:val="32"/>
          <w:szCs w:val="32"/>
        </w:rPr>
        <w:t xml:space="preserve"> </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非柜面渠道支出限额”是指申请人单一账户在非柜面渠道发起的各类资金支出交易（交易类型包括但不限于电子银行转账限额、快捷支付/第三方支付限额、ATM取款/转账限额、POS消费限额等）的统一总限额，包括每日限额和年度限额。</w:t>
      </w:r>
      <w:r>
        <w:rPr>
          <w:rFonts w:hint="eastAsia" w:ascii="黑体" w:hAnsi="黑体" w:eastAsia="黑体"/>
          <w:b/>
          <w:sz w:val="32"/>
          <w:szCs w:val="32"/>
        </w:rPr>
        <w:t>需要设定限额的具体非柜面交易类型，如有调整，以招商银行最新规定为准。</w:t>
      </w:r>
      <w:r>
        <w:rPr>
          <w:rFonts w:hint="eastAsia" w:ascii="仿宋" w:hAnsi="仿宋" w:eastAsia="仿宋"/>
          <w:sz w:val="32"/>
          <w:szCs w:val="32"/>
        </w:rPr>
        <w:t>申请人可联系招商银行网点、客户服务热线95555或通过手机银行渠道进行交易类型、限额详情查询。“非柜面渠道支出限额”与电子银行转账限额、快捷支付/第三方支付限额、ATM取款/转账限额、POS消费限额等单一特定自助渠道的交易限额同时有效，以其中最低的限额为准。</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招商银行将通过申请人的账户非柜面渠道支出限额详情、身份基本特征、账户风险等级评估情况等因素动态判断申请人是否符合通过招商银行手机银行APP等线上渠道在线调整非柜面交易限额的条件，对于符合该条件的账户，申请人可直接在线办理非柜面渠道支出限额调整操作；申请人也可持本人身份证件、银行卡到招商银行网点申请调整限额，网点工作人员将结合申请人账户风险等级评估结果、所提供辅助证明等材料对申请进行审核和处理。</w:t>
      </w:r>
    </w:p>
    <w:p>
      <w:pPr>
        <w:spacing w:line="360" w:lineRule="auto"/>
        <w:ind w:left="0" w:firstLine="640" w:firstLineChars="200"/>
        <w:rPr>
          <w:rFonts w:ascii="仿宋" w:hAnsi="仿宋" w:eastAsia="仿宋"/>
          <w:sz w:val="32"/>
          <w:szCs w:val="32"/>
          <w:highlight w:val="none"/>
        </w:rPr>
      </w:pPr>
      <w:r>
        <w:rPr>
          <w:rFonts w:hint="eastAsia" w:ascii="仿宋" w:hAnsi="仿宋" w:eastAsia="仿宋"/>
          <w:sz w:val="32"/>
          <w:szCs w:val="32"/>
        </w:rPr>
        <w:t>二十、申请人知悉，招商银行“一卡通”集定活期、多储种、多币种、多账户于一卡，</w:t>
      </w:r>
      <w:r>
        <w:rPr>
          <w:rFonts w:hint="eastAsia" w:ascii="黑体" w:hAnsi="黑体" w:eastAsia="黑体"/>
          <w:b/>
          <w:sz w:val="32"/>
          <w:szCs w:val="32"/>
        </w:rPr>
        <w:t>“一卡通”开立成功后，其项下本外币相关账户即可接收相应款项。申请人同意“一卡通”中的人民币活期账户、美元活期账户或</w:t>
      </w:r>
      <w:r>
        <w:rPr>
          <w:rFonts w:hint="eastAsia" w:ascii="黑体" w:hAnsi="黑体" w:eastAsia="黑体"/>
          <w:b/>
          <w:sz w:val="32"/>
          <w:szCs w:val="32"/>
          <w:lang w:val="en-US" w:eastAsia="zh-CN"/>
        </w:rPr>
        <w:t>银行</w:t>
      </w:r>
      <w:r>
        <w:rPr>
          <w:rFonts w:hint="eastAsia" w:ascii="黑体" w:hAnsi="黑体" w:eastAsia="黑体"/>
          <w:b/>
          <w:sz w:val="32"/>
          <w:szCs w:val="32"/>
        </w:rPr>
        <w:t>卡组织约定交易时使用币种对应的活期账户自动设置为个人银行结算账户</w:t>
      </w:r>
      <w:r>
        <w:rPr>
          <w:rFonts w:hint="eastAsia" w:ascii="仿宋_GB2312" w:eastAsia="仿宋_GB2312"/>
          <w:sz w:val="32"/>
          <w:szCs w:val="32"/>
        </w:rPr>
        <w:t>；</w:t>
      </w:r>
      <w:r>
        <w:rPr>
          <w:rFonts w:hint="eastAsia" w:ascii="仿宋" w:hAnsi="仿宋" w:eastAsia="仿宋"/>
          <w:sz w:val="32"/>
          <w:szCs w:val="32"/>
        </w:rPr>
        <w:t>人民币</w:t>
      </w:r>
      <w:r>
        <w:rPr>
          <w:rFonts w:hint="eastAsia" w:ascii="仿宋" w:hAnsi="仿宋" w:eastAsia="仿宋"/>
          <w:sz w:val="32"/>
          <w:szCs w:val="32"/>
          <w:highlight w:val="none"/>
        </w:rPr>
        <w:t>存折</w:t>
      </w:r>
      <w:r>
        <w:rPr>
          <w:rFonts w:hint="eastAsia" w:ascii="仿宋" w:hAnsi="仿宋" w:eastAsia="仿宋"/>
          <w:sz w:val="32"/>
          <w:szCs w:val="32"/>
        </w:rPr>
        <w:t>账户由申请人在开立账户时自行选择开立结算账户或储蓄账户。申请人保证遵守《人民币银行结算账户管理办法》《关于落实个人银行账户分类管理制度的通知》等金融监管机构的规定使用个人银行存款账</w:t>
      </w:r>
      <w:r>
        <w:rPr>
          <w:rFonts w:hint="eastAsia" w:ascii="仿宋" w:hAnsi="仿宋" w:eastAsia="仿宋"/>
          <w:sz w:val="32"/>
          <w:szCs w:val="32"/>
          <w:highlight w:val="none"/>
        </w:rPr>
        <w:t>户。</w:t>
      </w:r>
    </w:p>
    <w:p>
      <w:pPr>
        <w:spacing w:line="360" w:lineRule="auto"/>
        <w:ind w:left="0" w:firstLine="640" w:firstLineChars="200"/>
        <w:rPr>
          <w:rFonts w:ascii="仿宋" w:hAnsi="仿宋" w:eastAsia="仿宋"/>
          <w:b/>
          <w:sz w:val="32"/>
          <w:szCs w:val="32"/>
        </w:rPr>
      </w:pPr>
      <w:r>
        <w:rPr>
          <w:rFonts w:hint="eastAsia" w:ascii="仿宋" w:hAnsi="仿宋" w:eastAsia="仿宋"/>
          <w:sz w:val="32"/>
          <w:szCs w:val="32"/>
          <w:highlight w:val="none"/>
        </w:rPr>
        <w:t>二十一、银联“一卡通”可在招商银行及境内外带有“银联”等标识的受理点使用，并以人民币结算。万事达卡“一卡通”可在招商银行及境内外带有</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万事达卡</w:t>
      </w:r>
      <w:r>
        <w:rPr>
          <w:rFonts w:hint="eastAsia" w:ascii="仿宋" w:hAnsi="仿宋" w:eastAsia="仿宋"/>
          <w:sz w:val="32"/>
          <w:szCs w:val="32"/>
          <w:highlight w:val="none"/>
          <w:lang w:eastAsia="zh-CN"/>
        </w:rPr>
        <w:t>”</w:t>
      </w:r>
      <w:r>
        <w:rPr>
          <w:rFonts w:hint="eastAsia" w:ascii="仿宋" w:hAnsi="仿宋" w:eastAsia="仿宋"/>
          <w:sz w:val="32"/>
          <w:szCs w:val="32"/>
          <w:highlight w:val="none"/>
        </w:rPr>
        <w:t>受理标识的受理点使用，境内交易以人民币结算，跨境交易以</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万事达卡</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卡组织约定使用的币种进行结算。</w:t>
      </w:r>
      <w:r>
        <w:rPr>
          <w:rFonts w:hint="eastAsia" w:ascii="黑体" w:hAnsi="黑体" w:eastAsia="黑体"/>
          <w:b/>
          <w:sz w:val="32"/>
          <w:szCs w:val="32"/>
          <w:highlight w:val="none"/>
        </w:rPr>
        <w:t>带“闪付”或“EMV非接”标识的“一卡通”IC卡可</w:t>
      </w:r>
      <w:r>
        <w:rPr>
          <w:rFonts w:hint="eastAsia" w:ascii="黑体" w:hAnsi="黑体" w:eastAsia="黑体" w:cs="微软雅黑"/>
          <w:b/>
          <w:sz w:val="32"/>
          <w:szCs w:val="32"/>
          <w:highlight w:val="none"/>
        </w:rPr>
        <w:t>选择</w:t>
      </w:r>
      <w:r>
        <w:rPr>
          <w:rFonts w:hint="eastAsia" w:ascii="黑体" w:hAnsi="黑体" w:eastAsia="黑体"/>
          <w:b/>
          <w:sz w:val="32"/>
          <w:szCs w:val="32"/>
          <w:highlight w:val="none"/>
        </w:rPr>
        <w:t>开通 “小额免密免签”功能，申请人在支持 “小额免密免签”功能的特约商户进行一定金额（具体由</w:t>
      </w:r>
      <w:r>
        <w:rPr>
          <w:rFonts w:hint="eastAsia" w:ascii="黑体" w:hAnsi="黑体" w:eastAsia="黑体"/>
          <w:b/>
          <w:sz w:val="32"/>
          <w:szCs w:val="32"/>
          <w:highlight w:val="none"/>
          <w:lang w:eastAsia="zh-CN"/>
        </w:rPr>
        <w:t>银联或万事达卡</w:t>
      </w:r>
      <w:r>
        <w:rPr>
          <w:rFonts w:hint="eastAsia" w:ascii="黑体" w:hAnsi="黑体" w:eastAsia="黑体"/>
          <w:b/>
          <w:sz w:val="32"/>
          <w:szCs w:val="32"/>
          <w:highlight w:val="none"/>
        </w:rPr>
        <w:t>规定）以下的非接触方式</w:t>
      </w:r>
      <w:r>
        <w:rPr>
          <w:rFonts w:hint="eastAsia" w:ascii="黑体" w:hAnsi="黑体" w:eastAsia="黑体"/>
          <w:b/>
          <w:sz w:val="32"/>
          <w:szCs w:val="32"/>
        </w:rPr>
        <w:t>消费时，无需输入密码也无需在电子付款凭证上签名确认即可完成支付。申请人可通过招商银行网点、招商银行App、电话银行渠道选择关闭“小额免密免签”功能。</w:t>
      </w:r>
    </w:p>
    <w:p>
      <w:pPr>
        <w:spacing w:line="360" w:lineRule="auto"/>
        <w:ind w:left="0" w:firstLine="640" w:firstLineChars="200"/>
        <w:rPr>
          <w:rFonts w:ascii="仿宋_GB2312" w:eastAsia="仿宋_GB2312"/>
          <w:sz w:val="32"/>
          <w:szCs w:val="32"/>
        </w:rPr>
      </w:pPr>
      <w:r>
        <w:rPr>
          <w:rFonts w:hint="eastAsia" w:ascii="仿宋" w:hAnsi="仿宋" w:eastAsia="仿宋"/>
          <w:sz w:val="32"/>
          <w:szCs w:val="32"/>
        </w:rPr>
        <w:t>二十二、申请人开立“一卡通”、</w:t>
      </w:r>
      <w:r>
        <w:rPr>
          <w:rFonts w:hint="eastAsia" w:ascii="仿宋" w:hAnsi="仿宋" w:eastAsia="仿宋"/>
          <w:sz w:val="32"/>
          <w:szCs w:val="32"/>
          <w:highlight w:val="none"/>
        </w:rPr>
        <w:t>存折</w:t>
      </w:r>
      <w:r>
        <w:rPr>
          <w:rFonts w:hint="eastAsia" w:ascii="仿宋" w:hAnsi="仿宋" w:eastAsia="仿宋"/>
          <w:sz w:val="32"/>
          <w:szCs w:val="32"/>
        </w:rPr>
        <w:t>后自动享有招商银行电话银行、网上银行、App等自助渠道查询账户、修改密码、口头挂失等服务。同时，“一卡通”还享有如卡内定期转活期、定期到期转活期等功能。申请人同意，若招商银行对个人账户新推出其他服务功能，除招商银行规定需要到招商银行办理确认手续的之外，申请人已开立的账户自动享有该项新推出的服务功能。</w:t>
      </w:r>
      <w:r>
        <w:rPr>
          <w:rFonts w:hint="eastAsia" w:ascii="黑体" w:hAnsi="黑体" w:eastAsia="黑体"/>
          <w:b/>
          <w:sz w:val="32"/>
          <w:szCs w:val="32"/>
        </w:rPr>
        <w:t>如</w:t>
      </w:r>
      <w:r>
        <w:rPr>
          <w:rFonts w:hint="eastAsia" w:ascii="黑体" w:hAnsi="黑体" w:eastAsia="黑体" w:cs="微软雅黑"/>
          <w:b/>
          <w:sz w:val="32"/>
          <w:szCs w:val="32"/>
        </w:rPr>
        <w:t>申请人不接受</w:t>
      </w:r>
      <w:r>
        <w:rPr>
          <w:rFonts w:hint="eastAsia" w:ascii="黑体" w:hAnsi="黑体" w:eastAsia="黑体"/>
          <w:b/>
          <w:sz w:val="32"/>
          <w:szCs w:val="32"/>
        </w:rPr>
        <w:t>某服务</w:t>
      </w:r>
      <w:r>
        <w:rPr>
          <w:rFonts w:hint="eastAsia" w:ascii="黑体" w:hAnsi="黑体" w:eastAsia="黑体" w:cs="微软雅黑"/>
          <w:b/>
          <w:sz w:val="32"/>
          <w:szCs w:val="32"/>
        </w:rPr>
        <w:t>功能的</w:t>
      </w:r>
      <w:r>
        <w:rPr>
          <w:rFonts w:hint="eastAsia" w:ascii="黑体" w:hAnsi="黑体" w:eastAsia="黑体"/>
          <w:b/>
          <w:sz w:val="32"/>
          <w:szCs w:val="32"/>
        </w:rPr>
        <w:t>，可</w:t>
      </w:r>
      <w:r>
        <w:rPr>
          <w:rFonts w:hint="eastAsia" w:ascii="黑体" w:hAnsi="黑体" w:eastAsia="黑体" w:cs="微软雅黑"/>
          <w:b/>
          <w:sz w:val="32"/>
          <w:szCs w:val="32"/>
        </w:rPr>
        <w:t>向招商</w:t>
      </w:r>
      <w:r>
        <w:rPr>
          <w:rFonts w:hint="eastAsia" w:ascii="黑体" w:hAnsi="黑体" w:eastAsia="黑体"/>
          <w:b/>
          <w:sz w:val="32"/>
          <w:szCs w:val="32"/>
        </w:rPr>
        <w:t>银行提</w:t>
      </w:r>
      <w:r>
        <w:rPr>
          <w:rFonts w:hint="eastAsia" w:ascii="黑体" w:hAnsi="黑体" w:eastAsia="黑体" w:cs="微软雅黑"/>
          <w:b/>
          <w:sz w:val="32"/>
          <w:szCs w:val="32"/>
        </w:rPr>
        <w:t>出申请</w:t>
      </w:r>
      <w:r>
        <w:rPr>
          <w:rFonts w:hint="eastAsia" w:ascii="黑体" w:hAnsi="黑体" w:eastAsia="黑体"/>
          <w:b/>
          <w:sz w:val="32"/>
          <w:szCs w:val="32"/>
        </w:rPr>
        <w:t>关</w:t>
      </w:r>
      <w:r>
        <w:rPr>
          <w:rFonts w:hint="eastAsia" w:ascii="黑体" w:hAnsi="黑体" w:eastAsia="黑体" w:cs="微软雅黑"/>
          <w:b/>
          <w:sz w:val="32"/>
          <w:szCs w:val="32"/>
        </w:rPr>
        <w:t>闭</w:t>
      </w:r>
      <w:r>
        <w:rPr>
          <w:rFonts w:hint="eastAsia" w:ascii="黑体" w:hAnsi="黑体" w:eastAsia="黑体"/>
          <w:b/>
          <w:sz w:val="32"/>
          <w:szCs w:val="32"/>
        </w:rPr>
        <w:t>该服务</w:t>
      </w:r>
      <w:r>
        <w:rPr>
          <w:rFonts w:hint="eastAsia" w:ascii="黑体" w:hAnsi="黑体" w:eastAsia="黑体" w:cs="微软雅黑"/>
          <w:b/>
          <w:sz w:val="32"/>
          <w:szCs w:val="32"/>
        </w:rPr>
        <w:t>功能</w:t>
      </w:r>
      <w:r>
        <w:rPr>
          <w:rFonts w:hint="eastAsia" w:ascii="黑体" w:hAnsi="黑体" w:eastAsia="黑体"/>
          <w:b/>
          <w:sz w:val="32"/>
          <w:szCs w:val="32"/>
        </w:rPr>
        <w:t>；如</w:t>
      </w:r>
      <w:r>
        <w:rPr>
          <w:rFonts w:hint="eastAsia" w:ascii="黑体" w:hAnsi="黑体" w:eastAsia="黑体" w:cs="微软雅黑"/>
          <w:b/>
          <w:sz w:val="32"/>
          <w:szCs w:val="32"/>
        </w:rPr>
        <w:t>申请人</w:t>
      </w:r>
      <w:r>
        <w:rPr>
          <w:rFonts w:hint="eastAsia" w:ascii="黑体" w:hAnsi="黑体" w:eastAsia="黑体"/>
          <w:b/>
          <w:sz w:val="32"/>
          <w:szCs w:val="32"/>
        </w:rPr>
        <w:t>使用该服务</w:t>
      </w:r>
      <w:r>
        <w:rPr>
          <w:rFonts w:hint="eastAsia" w:ascii="黑体" w:hAnsi="黑体" w:eastAsia="黑体" w:cs="微软雅黑"/>
          <w:b/>
          <w:sz w:val="32"/>
          <w:szCs w:val="32"/>
        </w:rPr>
        <w:t>功能的</w:t>
      </w:r>
      <w:r>
        <w:rPr>
          <w:rFonts w:hint="eastAsia" w:ascii="黑体" w:hAnsi="黑体" w:eastAsia="黑体"/>
          <w:b/>
          <w:sz w:val="32"/>
          <w:szCs w:val="32"/>
        </w:rPr>
        <w:t>，即视为</w:t>
      </w:r>
      <w:r>
        <w:rPr>
          <w:rFonts w:hint="eastAsia" w:ascii="黑体" w:hAnsi="黑体" w:eastAsia="黑体" w:cs="微软雅黑"/>
          <w:b/>
          <w:sz w:val="32"/>
          <w:szCs w:val="32"/>
        </w:rPr>
        <w:t>申请人自愿</w:t>
      </w:r>
      <w:r>
        <w:rPr>
          <w:rFonts w:hint="eastAsia" w:ascii="黑体" w:hAnsi="黑体" w:eastAsia="黑体"/>
          <w:b/>
          <w:sz w:val="32"/>
          <w:szCs w:val="32"/>
        </w:rPr>
        <w:t>接受该服务</w:t>
      </w:r>
      <w:r>
        <w:rPr>
          <w:rFonts w:hint="eastAsia" w:ascii="黑体" w:hAnsi="黑体" w:eastAsia="黑体" w:cs="微软雅黑"/>
          <w:b/>
          <w:sz w:val="32"/>
          <w:szCs w:val="32"/>
        </w:rPr>
        <w:t>功能</w:t>
      </w:r>
      <w:r>
        <w:rPr>
          <w:rFonts w:hint="eastAsia" w:ascii="仿宋_GB2312" w:eastAsia="仿宋_GB2312"/>
          <w:sz w:val="32"/>
          <w:szCs w:val="32"/>
        </w:rPr>
        <w:t>。</w:t>
      </w:r>
    </w:p>
    <w:p>
      <w:pPr>
        <w:spacing w:line="360" w:lineRule="auto"/>
        <w:ind w:left="0" w:firstLine="640" w:firstLineChars="200"/>
        <w:rPr>
          <w:rFonts w:ascii="仿宋" w:hAnsi="仿宋" w:eastAsia="仿宋"/>
          <w:sz w:val="32"/>
          <w:szCs w:val="32"/>
        </w:rPr>
      </w:pPr>
      <w:r>
        <w:rPr>
          <w:rFonts w:hint="eastAsia" w:ascii="仿宋" w:hAnsi="仿宋" w:eastAsia="仿宋" w:cs="Calibri"/>
          <w:sz w:val="32"/>
          <w:szCs w:val="32"/>
        </w:rPr>
        <w:t>二</w:t>
      </w:r>
      <w:r>
        <w:rPr>
          <w:rFonts w:hint="eastAsia" w:ascii="仿宋" w:hAnsi="仿宋" w:eastAsia="仿宋"/>
          <w:sz w:val="32"/>
          <w:szCs w:val="32"/>
        </w:rPr>
        <w:t>十三、申请人同意存单、“一卡通”中的整存整取定期存款到期后由招商银行代为转存。转存后的整存整取存款，</w:t>
      </w:r>
      <w:r>
        <w:rPr>
          <w:rFonts w:hint="eastAsia" w:ascii="仿宋" w:hAnsi="仿宋" w:eastAsia="仿宋"/>
          <w:sz w:val="32"/>
          <w:szCs w:val="32"/>
          <w:lang w:eastAsia="zh-CN"/>
        </w:rPr>
        <w:t>如需办理支取，</w:t>
      </w:r>
      <w:r>
        <w:rPr>
          <w:rFonts w:hint="eastAsia" w:ascii="仿宋" w:hAnsi="仿宋" w:eastAsia="仿宋"/>
          <w:sz w:val="32"/>
          <w:szCs w:val="32"/>
        </w:rPr>
        <w:t>取款手续视同整存整取定期存款到期支取办理。</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二十</w:t>
      </w:r>
      <w:r>
        <w:rPr>
          <w:rFonts w:hint="eastAsia" w:ascii="仿宋" w:hAnsi="仿宋" w:eastAsia="仿宋" w:cs="Calibri"/>
          <w:sz w:val="32"/>
          <w:szCs w:val="32"/>
        </w:rPr>
        <w:t>四</w:t>
      </w:r>
      <w:r>
        <w:rPr>
          <w:rFonts w:hint="eastAsia" w:ascii="仿宋" w:hAnsi="仿宋" w:eastAsia="仿宋"/>
          <w:sz w:val="32"/>
          <w:szCs w:val="32"/>
        </w:rPr>
        <w:t>、申请人通过电子银行渠道使用查询、转账、支付结算、购买理财产品等个人电子银行业务服务的，应遵守《招商银行个人客户电子银行业务服务协议》规定。电子银行渠道包括手机银行（招商银行App）、网上银行（个人网银PC版）、可视柜台等。申请人可通过招商银行网点或官方网站获取上述协议。申请人申请开通“信用卡自动还款”功能,还应同时遵守《招商银行信用卡章程》、《招商银行信用卡自动还款服务协议》、《招商银行信用卡领用合约》和招商银行信用卡业务最新公告规定。</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二十</w:t>
      </w:r>
      <w:r>
        <w:rPr>
          <w:rFonts w:hint="eastAsia" w:ascii="仿宋" w:hAnsi="仿宋" w:eastAsia="仿宋" w:cs="Calibri"/>
          <w:sz w:val="32"/>
          <w:szCs w:val="32"/>
        </w:rPr>
        <w:t>五</w:t>
      </w:r>
      <w:r>
        <w:rPr>
          <w:rFonts w:hint="eastAsia" w:ascii="仿宋" w:hAnsi="仿宋" w:eastAsia="仿宋"/>
          <w:sz w:val="32"/>
          <w:szCs w:val="32"/>
        </w:rPr>
        <w:t>、</w:t>
      </w:r>
      <w:r>
        <w:rPr>
          <w:rFonts w:hint="eastAsia" w:ascii="黑体" w:hAnsi="黑体" w:eastAsia="黑体"/>
          <w:b/>
          <w:sz w:val="32"/>
          <w:szCs w:val="32"/>
        </w:rPr>
        <w:t>因不可抗力因素、非招商银行原因导致的系统故障、通讯异常、申请人自身原因或其他非招商银行原因造成的申请人账户的资金风险和损失，招商银行不承担相应责任，但可视情况协助申请人并提供必要的帮助。</w:t>
      </w:r>
      <w:r>
        <w:rPr>
          <w:rFonts w:hint="eastAsia" w:ascii="仿宋" w:hAnsi="仿宋" w:eastAsia="仿宋"/>
          <w:sz w:val="32"/>
          <w:szCs w:val="32"/>
        </w:rPr>
        <w:t>若招商银行对于客户资金风险和损失有过错的，按照过错程度承担相应的法律责任。</w:t>
      </w:r>
    </w:p>
    <w:p>
      <w:pPr>
        <w:spacing w:line="360" w:lineRule="auto"/>
        <w:ind w:left="0" w:firstLine="720" w:firstLineChars="225"/>
        <w:rPr>
          <w:rFonts w:ascii="仿宋" w:hAnsi="仿宋" w:eastAsia="仿宋"/>
          <w:sz w:val="32"/>
          <w:szCs w:val="32"/>
        </w:rPr>
      </w:pPr>
      <w:r>
        <w:rPr>
          <w:rFonts w:hint="eastAsia" w:ascii="仿宋" w:hAnsi="仿宋" w:eastAsia="仿宋"/>
          <w:sz w:val="32"/>
          <w:szCs w:val="32"/>
        </w:rPr>
        <w:t>二十</w:t>
      </w:r>
      <w:r>
        <w:rPr>
          <w:rFonts w:hint="eastAsia" w:ascii="仿宋" w:hAnsi="仿宋" w:eastAsia="仿宋" w:cs="Calibri"/>
          <w:sz w:val="32"/>
          <w:szCs w:val="32"/>
        </w:rPr>
        <w:t>六</w:t>
      </w:r>
      <w:r>
        <w:rPr>
          <w:rFonts w:hint="eastAsia" w:ascii="仿宋" w:hAnsi="仿宋" w:eastAsia="仿宋"/>
          <w:sz w:val="32"/>
          <w:szCs w:val="32"/>
        </w:rPr>
        <w:t>、招商银行发行的“一卡通”IC卡有效期均为五至十年，如卡片过期，申请人不能在境内外自助存／取款机</w:t>
      </w:r>
      <w:r>
        <w:rPr>
          <w:rFonts w:hint="eastAsia" w:ascii="仿宋" w:hAnsi="仿宋" w:eastAsia="仿宋"/>
          <w:sz w:val="32"/>
          <w:szCs w:val="32"/>
          <w:lang w:val="en-US" w:eastAsia="zh-CN"/>
        </w:rPr>
        <w:t>和</w:t>
      </w:r>
      <w:r>
        <w:rPr>
          <w:rFonts w:hint="eastAsia" w:ascii="仿宋" w:hAnsi="仿宋" w:eastAsia="仿宋"/>
          <w:sz w:val="32"/>
          <w:szCs w:val="32"/>
        </w:rPr>
        <w:t>商户POS机</w:t>
      </w:r>
      <w:r>
        <w:rPr>
          <w:rFonts w:hint="eastAsia" w:ascii="仿宋" w:hAnsi="仿宋" w:eastAsia="仿宋"/>
          <w:sz w:val="32"/>
          <w:szCs w:val="32"/>
          <w:lang w:val="en-US" w:eastAsia="zh-CN"/>
        </w:rPr>
        <w:t>上</w:t>
      </w:r>
      <w:r>
        <w:rPr>
          <w:rFonts w:hint="eastAsia" w:ascii="仿宋" w:hAnsi="仿宋" w:eastAsia="仿宋"/>
          <w:sz w:val="32"/>
          <w:szCs w:val="32"/>
        </w:rPr>
        <w:t>使用卡片，但申请人使用该卡所发生的债权债务关系不因卡片过期而消失。</w:t>
      </w:r>
    </w:p>
    <w:p>
      <w:pPr>
        <w:spacing w:line="360" w:lineRule="auto"/>
        <w:ind w:left="0" w:firstLine="640" w:firstLineChars="200"/>
        <w:rPr>
          <w:rFonts w:ascii="黑体" w:hAnsi="黑体" w:eastAsia="黑体"/>
          <w:b/>
          <w:sz w:val="32"/>
          <w:szCs w:val="32"/>
        </w:rPr>
      </w:pPr>
      <w:r>
        <w:rPr>
          <w:rFonts w:hint="eastAsia" w:ascii="仿宋" w:hAnsi="仿宋" w:eastAsia="仿宋"/>
          <w:sz w:val="32"/>
          <w:szCs w:val="32"/>
        </w:rPr>
        <w:t>二十</w:t>
      </w:r>
      <w:r>
        <w:rPr>
          <w:rFonts w:hint="eastAsia" w:ascii="仿宋" w:hAnsi="仿宋" w:eastAsia="仿宋" w:cs="微软雅黑"/>
          <w:sz w:val="32"/>
          <w:szCs w:val="32"/>
        </w:rPr>
        <w:t>七</w:t>
      </w:r>
      <w:r>
        <w:rPr>
          <w:rFonts w:hint="eastAsia" w:ascii="仿宋" w:hAnsi="仿宋" w:eastAsia="仿宋"/>
          <w:sz w:val="32"/>
          <w:szCs w:val="32"/>
        </w:rPr>
        <w:t>、</w:t>
      </w:r>
      <w:r>
        <w:rPr>
          <w:rFonts w:hint="eastAsia" w:ascii="黑体" w:hAnsi="黑体" w:eastAsia="黑体"/>
          <w:b/>
          <w:sz w:val="32"/>
          <w:szCs w:val="32"/>
        </w:rPr>
        <w:t>招商银行有权对</w:t>
      </w:r>
      <w:r>
        <w:rPr>
          <w:rFonts w:hint="eastAsia" w:ascii="黑体" w:hAnsi="黑体" w:eastAsia="黑体" w:cs="微软雅黑"/>
          <w:b/>
          <w:sz w:val="32"/>
          <w:szCs w:val="32"/>
        </w:rPr>
        <w:t>两年（含）</w:t>
      </w:r>
      <w:r>
        <w:rPr>
          <w:rFonts w:hint="eastAsia" w:ascii="黑体" w:hAnsi="黑体" w:eastAsia="黑体"/>
          <w:b/>
          <w:sz w:val="32"/>
          <w:szCs w:val="32"/>
        </w:rPr>
        <w:t>以上不活动且账户余额为零的账户采取临时销户措施，或对</w:t>
      </w:r>
      <w:r>
        <w:rPr>
          <w:rFonts w:hint="eastAsia" w:ascii="黑体" w:hAnsi="黑体" w:eastAsia="黑体" w:cs="微软雅黑"/>
          <w:b/>
          <w:sz w:val="32"/>
          <w:szCs w:val="32"/>
        </w:rPr>
        <w:t>两年（含）以上</w:t>
      </w:r>
      <w:r>
        <w:rPr>
          <w:rFonts w:hint="eastAsia" w:ascii="黑体" w:hAnsi="黑体" w:eastAsia="黑体"/>
          <w:b/>
          <w:sz w:val="32"/>
          <w:szCs w:val="32"/>
        </w:rPr>
        <w:t>不活动且招商银行合理认为余额较少的账户暂停使用。招商银行对相关账户采取上述措施的，申请人可在招商银行网点申请恢复账户使用。</w:t>
      </w:r>
    </w:p>
    <w:p>
      <w:pPr>
        <w:spacing w:line="360" w:lineRule="auto"/>
        <w:ind w:left="0" w:firstLine="640" w:firstLineChars="200"/>
        <w:rPr>
          <w:rFonts w:hint="eastAsia" w:ascii="仿宋" w:hAnsi="仿宋" w:eastAsia="仿宋"/>
          <w:sz w:val="32"/>
          <w:szCs w:val="32"/>
        </w:rPr>
      </w:pPr>
      <w:r>
        <w:rPr>
          <w:rFonts w:hint="eastAsia" w:ascii="仿宋" w:hAnsi="仿宋" w:eastAsia="仿宋"/>
          <w:sz w:val="32"/>
          <w:szCs w:val="32"/>
        </w:rPr>
        <w:t>二十</w:t>
      </w:r>
      <w:r>
        <w:rPr>
          <w:rFonts w:hint="eastAsia" w:ascii="仿宋" w:hAnsi="仿宋" w:eastAsia="仿宋" w:cs="Calibri"/>
          <w:sz w:val="32"/>
          <w:szCs w:val="32"/>
        </w:rPr>
        <w:t>八</w:t>
      </w:r>
      <w:r>
        <w:rPr>
          <w:rFonts w:hint="eastAsia" w:ascii="仿宋" w:hAnsi="仿宋" w:eastAsia="仿宋"/>
          <w:sz w:val="32"/>
          <w:szCs w:val="32"/>
        </w:rPr>
        <w:t>、申请人申请开立特色主题“一卡通”或“一卡通”联名卡，除遵守以上各项条款之外，还应同时遵守招商银行有关特色主题“一卡通”及联名卡的业务规则。</w:t>
      </w:r>
      <w:r>
        <w:rPr>
          <w:rFonts w:hint="eastAsia" w:ascii="黑体" w:hAnsi="黑体" w:eastAsia="黑体" w:cs="微软雅黑"/>
          <w:b/>
          <w:sz w:val="32"/>
          <w:szCs w:val="32"/>
        </w:rPr>
        <w:t>招商银行停止发行特色主题“一卡通”或与联名卡的联名单位合作终止后，招商银行有权停止我行或联名单位一方提供的优惠，</w:t>
      </w:r>
      <w:r>
        <w:rPr>
          <w:rFonts w:hint="eastAsia" w:ascii="仿宋" w:hAnsi="仿宋" w:eastAsia="仿宋"/>
          <w:sz w:val="32"/>
          <w:szCs w:val="32"/>
        </w:rPr>
        <w:t>但特色主题“一卡通”及“一卡通”联名卡项下各项银行服务及功能持续有效</w:t>
      </w:r>
      <w:r>
        <w:rPr>
          <w:rFonts w:hint="eastAsia" w:ascii="仿宋" w:hAnsi="仿宋" w:eastAsia="仿宋"/>
          <w:sz w:val="32"/>
          <w:szCs w:val="32"/>
          <w:lang w:eastAsia="zh-CN"/>
        </w:rPr>
        <w:t>，</w:t>
      </w:r>
      <w:r>
        <w:rPr>
          <w:rFonts w:hint="eastAsia" w:ascii="仿宋" w:hAnsi="仿宋" w:eastAsia="仿宋"/>
          <w:sz w:val="32"/>
          <w:szCs w:val="32"/>
        </w:rPr>
        <w:t>但后续</w:t>
      </w:r>
      <w:r>
        <w:rPr>
          <w:rFonts w:hint="eastAsia" w:ascii="仿宋" w:hAnsi="仿宋" w:eastAsia="仿宋"/>
          <w:sz w:val="32"/>
          <w:szCs w:val="32"/>
          <w:lang w:val="en-US" w:eastAsia="zh-CN"/>
        </w:rPr>
        <w:t>申请人</w:t>
      </w:r>
      <w:r>
        <w:rPr>
          <w:rFonts w:hint="eastAsia" w:ascii="仿宋" w:hAnsi="仿宋" w:eastAsia="仿宋"/>
          <w:sz w:val="32"/>
          <w:szCs w:val="32"/>
        </w:rPr>
        <w:t>在办理挂失换卡等业务时，无法选择原特色主题“一卡通”或“一卡通”联名卡，仅能选择其他同级别卡片。</w:t>
      </w:r>
    </w:p>
    <w:p>
      <w:pPr>
        <w:spacing w:line="360" w:lineRule="auto"/>
        <w:ind w:left="0" w:firstLine="640" w:firstLineChars="200"/>
        <w:rPr>
          <w:rFonts w:ascii="仿宋" w:hAnsi="仿宋" w:eastAsia="仿宋"/>
          <w:sz w:val="32"/>
          <w:szCs w:val="32"/>
        </w:rPr>
      </w:pPr>
      <w:r>
        <w:rPr>
          <w:rFonts w:hint="eastAsia" w:ascii="仿宋" w:hAnsi="仿宋" w:eastAsia="仿宋"/>
          <w:sz w:val="32"/>
          <w:szCs w:val="32"/>
        </w:rPr>
        <w:t>二十</w:t>
      </w:r>
      <w:r>
        <w:rPr>
          <w:rFonts w:hint="eastAsia" w:ascii="仿宋" w:hAnsi="仿宋" w:eastAsia="仿宋" w:cs="Calibri"/>
          <w:sz w:val="32"/>
          <w:szCs w:val="32"/>
        </w:rPr>
        <w:t>九</w:t>
      </w:r>
      <w:r>
        <w:rPr>
          <w:rFonts w:hint="eastAsia" w:ascii="仿宋" w:hAnsi="仿宋" w:eastAsia="仿宋"/>
          <w:sz w:val="32"/>
          <w:szCs w:val="32"/>
        </w:rPr>
        <w:t>、申请人应认真阅读“一卡通”章程，并同意遵守相关责任条款。</w:t>
      </w:r>
    </w:p>
    <w:p>
      <w:pPr>
        <w:spacing w:line="360" w:lineRule="auto"/>
        <w:ind w:left="0" w:firstLine="640" w:firstLineChars="200"/>
        <w:rPr>
          <w:rFonts w:ascii="黑体" w:hAnsi="黑体" w:eastAsia="黑体" w:cs="___WRD_EMBED_SUB_39"/>
          <w:b/>
          <w:sz w:val="32"/>
          <w:szCs w:val="32"/>
        </w:rPr>
      </w:pPr>
      <w:r>
        <w:rPr>
          <w:rFonts w:hint="eastAsia" w:ascii="仿宋" w:hAnsi="仿宋" w:eastAsia="仿宋"/>
          <w:sz w:val="32"/>
          <w:szCs w:val="32"/>
        </w:rPr>
        <w:t>三十、</w:t>
      </w:r>
      <w:r>
        <w:rPr>
          <w:rFonts w:hint="eastAsia" w:ascii="黑体" w:hAnsi="黑体" w:eastAsia="黑体" w:cs="微软雅黑"/>
          <w:b/>
          <w:sz w:val="32"/>
          <w:szCs w:val="32"/>
        </w:rPr>
        <w:t>招商</w:t>
      </w:r>
      <w:r>
        <w:rPr>
          <w:rFonts w:ascii="黑体" w:hAnsi="黑体" w:eastAsia="黑体" w:cs="___WRD_EMBED_SUB_39"/>
          <w:b/>
          <w:sz w:val="32"/>
          <w:szCs w:val="32"/>
        </w:rPr>
        <w:t>银行</w:t>
      </w:r>
      <w:r>
        <w:rPr>
          <w:rFonts w:hint="eastAsia" w:ascii="黑体" w:hAnsi="黑体" w:eastAsia="黑体" w:cs="微软雅黑"/>
          <w:b/>
          <w:sz w:val="32"/>
          <w:szCs w:val="32"/>
        </w:rPr>
        <w:t>保留</w:t>
      </w:r>
      <w:r>
        <w:rPr>
          <w:rFonts w:ascii="黑体" w:hAnsi="黑体" w:eastAsia="黑体" w:cs="___WRD_EMBED_SUB_39"/>
          <w:b/>
          <w:sz w:val="32"/>
          <w:szCs w:val="32"/>
        </w:rPr>
        <w:t>根据国</w:t>
      </w:r>
      <w:r>
        <w:rPr>
          <w:rFonts w:hint="eastAsia" w:ascii="黑体" w:hAnsi="黑体" w:eastAsia="黑体" w:cs="微软雅黑"/>
          <w:b/>
          <w:sz w:val="32"/>
          <w:szCs w:val="32"/>
        </w:rPr>
        <w:t>家</w:t>
      </w:r>
      <w:r>
        <w:rPr>
          <w:rFonts w:ascii="黑体" w:hAnsi="黑体" w:eastAsia="黑体" w:cs="___WRD_EMBED_SUB_39"/>
          <w:b/>
          <w:sz w:val="32"/>
          <w:szCs w:val="32"/>
        </w:rPr>
        <w:t>法律和规定</w:t>
      </w:r>
      <w:r>
        <w:rPr>
          <w:rFonts w:hint="eastAsia" w:ascii="黑体" w:hAnsi="黑体" w:eastAsia="黑体" w:cs="微软雅黑"/>
          <w:b/>
          <w:sz w:val="32"/>
          <w:szCs w:val="32"/>
        </w:rPr>
        <w:t>修</w:t>
      </w:r>
      <w:r>
        <w:rPr>
          <w:rFonts w:ascii="黑体" w:hAnsi="黑体" w:eastAsia="黑体" w:cs="___WRD_EMBED_SUB_39"/>
          <w:b/>
          <w:sz w:val="32"/>
          <w:szCs w:val="32"/>
        </w:rPr>
        <w:t>改本须知的权</w:t>
      </w:r>
      <w:r>
        <w:rPr>
          <w:rFonts w:hint="eastAsia" w:ascii="黑体" w:hAnsi="黑体" w:eastAsia="黑体" w:cs="微软雅黑"/>
          <w:b/>
          <w:sz w:val="32"/>
          <w:szCs w:val="32"/>
        </w:rPr>
        <w:t>利</w:t>
      </w:r>
      <w:r>
        <w:rPr>
          <w:rFonts w:hint="eastAsia" w:ascii="黑体" w:hAnsi="黑体" w:eastAsia="黑体" w:cs="___WRD_EMBED_SUB_39"/>
          <w:b/>
          <w:sz w:val="32"/>
          <w:szCs w:val="32"/>
        </w:rPr>
        <w:t>。</w:t>
      </w:r>
      <w:r>
        <w:rPr>
          <w:rFonts w:ascii="黑体" w:hAnsi="黑体" w:eastAsia="黑体" w:cs="微软雅黑"/>
          <w:b/>
          <w:sz w:val="32"/>
          <w:szCs w:val="32"/>
        </w:rPr>
        <w:t>招商银行如对本须知进行修改</w:t>
      </w:r>
      <w:r>
        <w:rPr>
          <w:rFonts w:hint="eastAsia" w:ascii="黑体" w:hAnsi="黑体" w:eastAsia="黑体" w:cs="微软雅黑"/>
          <w:b/>
          <w:sz w:val="32"/>
          <w:szCs w:val="32"/>
        </w:rPr>
        <w:t>，新版须知</w:t>
      </w:r>
      <w:r>
        <w:rPr>
          <w:rFonts w:hint="eastAsia" w:ascii="黑体" w:hAnsi="黑体" w:eastAsia="黑体"/>
          <w:b/>
          <w:sz w:val="32"/>
          <w:szCs w:val="32"/>
        </w:rPr>
        <w:t>将提前在招商银行官网、营业场所等渠道</w:t>
      </w:r>
      <w:r>
        <w:rPr>
          <w:rFonts w:hint="eastAsia" w:ascii="黑体" w:hAnsi="黑体" w:eastAsia="黑体" w:cs="微软雅黑"/>
          <w:b/>
          <w:sz w:val="32"/>
          <w:szCs w:val="32"/>
        </w:rPr>
        <w:t>发布</w:t>
      </w:r>
      <w:r>
        <w:rPr>
          <w:rFonts w:hint="eastAsia" w:ascii="黑体" w:hAnsi="黑体" w:eastAsia="黑体"/>
          <w:b/>
          <w:sz w:val="32"/>
          <w:szCs w:val="32"/>
        </w:rPr>
        <w:t>并于发布时确定的生效</w:t>
      </w:r>
      <w:r>
        <w:rPr>
          <w:rFonts w:hint="eastAsia" w:ascii="黑体" w:hAnsi="黑体" w:eastAsia="黑体" w:cs="微软雅黑"/>
          <w:b/>
          <w:sz w:val="32"/>
          <w:szCs w:val="32"/>
        </w:rPr>
        <w:t>之日起生效。申请人若因对本须知的修改有异议而决定不再使用所开立账户的，</w:t>
      </w:r>
      <w:r>
        <w:rPr>
          <w:rFonts w:ascii="黑体" w:hAnsi="黑体" w:eastAsia="黑体" w:cs="___WRD_EMBED_SUB_39"/>
          <w:b/>
          <w:sz w:val="32"/>
          <w:szCs w:val="32"/>
        </w:rPr>
        <w:t>有权</w:t>
      </w:r>
      <w:r>
        <w:rPr>
          <w:rFonts w:hint="eastAsia" w:ascii="黑体" w:hAnsi="黑体" w:eastAsia="黑体" w:cs="微软雅黑"/>
          <w:b/>
          <w:sz w:val="32"/>
          <w:szCs w:val="32"/>
        </w:rPr>
        <w:t>向招商</w:t>
      </w:r>
      <w:r>
        <w:rPr>
          <w:rFonts w:ascii="黑体" w:hAnsi="黑体" w:eastAsia="黑体" w:cs="___WRD_EMBED_SUB_39"/>
          <w:b/>
          <w:sz w:val="32"/>
          <w:szCs w:val="32"/>
        </w:rPr>
        <w:t>银行</w:t>
      </w:r>
      <w:r>
        <w:rPr>
          <w:rFonts w:hint="eastAsia" w:ascii="黑体" w:hAnsi="黑体" w:eastAsia="黑体" w:cs="微软雅黑"/>
          <w:b/>
          <w:sz w:val="32"/>
          <w:szCs w:val="32"/>
        </w:rPr>
        <w:t>申请销户；申请人未作销户的，视同申请人同意接受修改后的内容，修</w:t>
      </w:r>
      <w:r>
        <w:rPr>
          <w:rFonts w:ascii="黑体" w:hAnsi="黑体" w:eastAsia="黑体" w:cs="___WRD_EMBED_SUB_39"/>
          <w:b/>
          <w:sz w:val="32"/>
          <w:szCs w:val="32"/>
        </w:rPr>
        <w:t>改后的</w:t>
      </w:r>
      <w:r>
        <w:rPr>
          <w:rFonts w:hint="eastAsia" w:ascii="黑体" w:hAnsi="黑体" w:eastAsia="黑体" w:cs="微软雅黑"/>
          <w:b/>
          <w:sz w:val="32"/>
          <w:szCs w:val="32"/>
        </w:rPr>
        <w:t>条款</w:t>
      </w:r>
      <w:r>
        <w:rPr>
          <w:rFonts w:ascii="黑体" w:hAnsi="黑体" w:eastAsia="黑体" w:cs="___WRD_EMBED_SUB_39"/>
          <w:b/>
          <w:sz w:val="32"/>
          <w:szCs w:val="32"/>
        </w:rPr>
        <w:t>对</w:t>
      </w:r>
      <w:r>
        <w:rPr>
          <w:rFonts w:hint="eastAsia" w:ascii="黑体" w:hAnsi="黑体" w:eastAsia="黑体" w:cs="微软雅黑"/>
          <w:b/>
          <w:sz w:val="32"/>
          <w:szCs w:val="32"/>
        </w:rPr>
        <w:t>申请人具</w:t>
      </w:r>
      <w:r>
        <w:rPr>
          <w:rFonts w:ascii="黑体" w:hAnsi="黑体" w:eastAsia="黑体" w:cs="___WRD_EMBED_SUB_39"/>
          <w:b/>
          <w:sz w:val="32"/>
          <w:szCs w:val="32"/>
        </w:rPr>
        <w:t>有</w:t>
      </w:r>
      <w:r>
        <w:rPr>
          <w:rFonts w:hint="eastAsia" w:ascii="黑体" w:hAnsi="黑体" w:eastAsia="黑体" w:cs="微软雅黑"/>
          <w:b/>
          <w:sz w:val="32"/>
          <w:szCs w:val="32"/>
        </w:rPr>
        <w:t>法律约束力</w:t>
      </w:r>
      <w:r>
        <w:rPr>
          <w:rFonts w:ascii="黑体" w:hAnsi="黑体" w:eastAsia="黑体" w:cs="___WRD_EMBED_SUB_39"/>
          <w:b/>
          <w:sz w:val="32"/>
          <w:szCs w:val="32"/>
        </w:rPr>
        <w:t>。</w:t>
      </w:r>
    </w:p>
    <w:p>
      <w:pPr>
        <w:spacing w:line="360" w:lineRule="auto"/>
        <w:ind w:firstLine="640" w:firstLineChars="200"/>
        <w:rPr>
          <w:rFonts w:ascii="黑体" w:hAnsi="黑体" w:eastAsia="黑体"/>
          <w:b/>
          <w:sz w:val="32"/>
          <w:szCs w:val="32"/>
        </w:rPr>
      </w:pPr>
      <w:r>
        <w:rPr>
          <w:rFonts w:hint="eastAsia" w:ascii="仿宋" w:hAnsi="仿宋" w:eastAsia="仿宋" w:cs="微软雅黑"/>
          <w:sz w:val="32"/>
          <w:szCs w:val="32"/>
        </w:rPr>
        <w:t>三十一、</w:t>
      </w:r>
      <w:r>
        <w:rPr>
          <w:rFonts w:hint="eastAsia" w:ascii="黑体" w:hAnsi="黑体" w:eastAsia="黑体" w:cs="微软雅黑"/>
          <w:b/>
          <w:sz w:val="32"/>
          <w:szCs w:val="32"/>
        </w:rPr>
        <w:t>申请人确认招商</w:t>
      </w:r>
      <w:r>
        <w:rPr>
          <w:rFonts w:ascii="黑体" w:hAnsi="黑体" w:eastAsia="黑体" w:cs="___WRD_EMBED_SUB_39"/>
          <w:b/>
          <w:sz w:val="32"/>
          <w:szCs w:val="32"/>
        </w:rPr>
        <w:t>银行对上述须知中有关</w:t>
      </w:r>
      <w:r>
        <w:rPr>
          <w:rFonts w:hint="eastAsia" w:ascii="黑体" w:hAnsi="黑体" w:eastAsia="黑体" w:cs="微软雅黑"/>
          <w:b/>
          <w:sz w:val="32"/>
          <w:szCs w:val="32"/>
        </w:rPr>
        <w:t>减轻</w:t>
      </w:r>
      <w:r>
        <w:rPr>
          <w:rFonts w:ascii="黑体" w:hAnsi="黑体" w:eastAsia="黑体" w:cs="___WRD_EMBED_SUB_39"/>
          <w:b/>
          <w:sz w:val="32"/>
          <w:szCs w:val="32"/>
        </w:rPr>
        <w:t>、限</w:t>
      </w:r>
      <w:r>
        <w:rPr>
          <w:rFonts w:hint="eastAsia" w:ascii="黑体" w:hAnsi="黑体" w:eastAsia="黑体" w:cs="微软雅黑"/>
          <w:b/>
          <w:sz w:val="32"/>
          <w:szCs w:val="32"/>
        </w:rPr>
        <w:t>制招商</w:t>
      </w:r>
      <w:r>
        <w:rPr>
          <w:rFonts w:ascii="黑体" w:hAnsi="黑体" w:eastAsia="黑体" w:cs="___WRD_EMBED_SUB_39"/>
          <w:b/>
          <w:sz w:val="32"/>
          <w:szCs w:val="32"/>
        </w:rPr>
        <w:t>银行</w:t>
      </w:r>
      <w:r>
        <w:rPr>
          <w:rFonts w:hint="eastAsia" w:ascii="黑体" w:hAnsi="黑体" w:eastAsia="黑体" w:cs="微软雅黑"/>
          <w:b/>
          <w:sz w:val="32"/>
          <w:szCs w:val="32"/>
        </w:rPr>
        <w:t>责任</w:t>
      </w:r>
      <w:r>
        <w:rPr>
          <w:rFonts w:hint="eastAsia" w:ascii="黑体" w:hAnsi="黑体" w:eastAsia="黑体"/>
          <w:b/>
          <w:sz w:val="32"/>
          <w:szCs w:val="32"/>
        </w:rPr>
        <w:t>等与申请人有重大利害关系</w:t>
      </w:r>
      <w:r>
        <w:rPr>
          <w:rFonts w:ascii="黑体" w:hAnsi="黑体" w:eastAsia="黑体" w:cs="___WRD_EMBED_SUB_39"/>
          <w:b/>
          <w:sz w:val="32"/>
          <w:szCs w:val="32"/>
        </w:rPr>
        <w:t>的</w:t>
      </w:r>
      <w:r>
        <w:rPr>
          <w:rFonts w:hint="eastAsia" w:ascii="黑体" w:hAnsi="黑体" w:eastAsia="黑体" w:cs="微软雅黑"/>
          <w:b/>
          <w:sz w:val="32"/>
          <w:szCs w:val="32"/>
        </w:rPr>
        <w:t>条款已向申请人予</w:t>
      </w:r>
      <w:r>
        <w:rPr>
          <w:rFonts w:ascii="黑体" w:hAnsi="黑体" w:eastAsia="黑体" w:cs="___WRD_EMBED_SUB_39"/>
          <w:b/>
          <w:sz w:val="32"/>
          <w:szCs w:val="32"/>
        </w:rPr>
        <w:t>以</w:t>
      </w:r>
      <w:r>
        <w:rPr>
          <w:rFonts w:hint="eastAsia" w:ascii="黑体" w:hAnsi="黑体" w:eastAsia="黑体" w:cs="微软雅黑"/>
          <w:b/>
          <w:sz w:val="32"/>
          <w:szCs w:val="32"/>
        </w:rPr>
        <w:t>充分解释说明</w:t>
      </w:r>
      <w:r>
        <w:rPr>
          <w:rFonts w:ascii="黑体" w:hAnsi="黑体" w:eastAsia="黑体" w:cs="___WRD_EMBED_SUB_39"/>
          <w:b/>
          <w:sz w:val="32"/>
          <w:szCs w:val="32"/>
        </w:rPr>
        <w:t>，</w:t>
      </w:r>
      <w:r>
        <w:rPr>
          <w:rFonts w:hint="eastAsia" w:ascii="黑体" w:hAnsi="黑体" w:eastAsia="黑体" w:cs="微软雅黑"/>
          <w:b/>
          <w:sz w:val="32"/>
          <w:szCs w:val="32"/>
        </w:rPr>
        <w:t>申请人</w:t>
      </w:r>
      <w:r>
        <w:rPr>
          <w:rFonts w:hint="eastAsia" w:ascii="黑体" w:hAnsi="黑体" w:eastAsia="黑体"/>
          <w:b/>
          <w:sz w:val="32"/>
          <w:szCs w:val="32"/>
        </w:rPr>
        <w:t>在招商银行开户渠道签署或勾选认可本须知即视为</w:t>
      </w:r>
      <w:r>
        <w:rPr>
          <w:rFonts w:hint="eastAsia" w:ascii="黑体" w:hAnsi="黑体" w:eastAsia="黑体" w:cs="微软雅黑"/>
          <w:b/>
          <w:sz w:val="32"/>
          <w:szCs w:val="32"/>
        </w:rPr>
        <w:t>已完全</w:t>
      </w:r>
      <w:r>
        <w:rPr>
          <w:rFonts w:ascii="黑体" w:hAnsi="黑体" w:eastAsia="黑体" w:cs="___WRD_EMBED_SUB_39"/>
          <w:b/>
          <w:sz w:val="32"/>
          <w:szCs w:val="32"/>
        </w:rPr>
        <w:t>理</w:t>
      </w:r>
      <w:r>
        <w:rPr>
          <w:rFonts w:hint="eastAsia" w:ascii="黑体" w:hAnsi="黑体" w:eastAsia="黑体" w:cs="微软雅黑"/>
          <w:b/>
          <w:sz w:val="32"/>
          <w:szCs w:val="32"/>
        </w:rPr>
        <w:t>解本须知内容并自愿</w:t>
      </w:r>
      <w:r>
        <w:rPr>
          <w:rFonts w:ascii="黑体" w:hAnsi="黑体" w:eastAsia="黑体" w:cs="___WRD_EMBED_SUB_39"/>
          <w:b/>
          <w:sz w:val="32"/>
          <w:szCs w:val="32"/>
        </w:rPr>
        <w:t>接受</w:t>
      </w:r>
      <w:r>
        <w:rPr>
          <w:rFonts w:hint="eastAsia" w:ascii="黑体" w:hAnsi="黑体" w:eastAsia="黑体" w:cs="___WRD_EMBED_SUB_39"/>
          <w:b/>
          <w:sz w:val="32"/>
          <w:szCs w:val="32"/>
        </w:rPr>
        <w:t>其</w:t>
      </w:r>
      <w:r>
        <w:rPr>
          <w:rFonts w:hint="eastAsia" w:ascii="黑体" w:hAnsi="黑体" w:eastAsia="黑体" w:cs="微软雅黑"/>
          <w:b/>
          <w:sz w:val="32"/>
          <w:szCs w:val="32"/>
        </w:rPr>
        <w:t>约束</w:t>
      </w:r>
      <w:r>
        <w:rPr>
          <w:rFonts w:hint="eastAsia" w:ascii="黑体" w:hAnsi="黑体" w:eastAsia="黑体"/>
          <w:b/>
          <w:sz w:val="32"/>
          <w:szCs w:val="32"/>
        </w:rPr>
        <w:t>。</w:t>
      </w:r>
    </w:p>
    <w:p>
      <w:pPr>
        <w:spacing w:line="360" w:lineRule="auto"/>
        <w:ind w:left="0" w:firstLine="640" w:firstLineChars="200"/>
        <w:rPr>
          <w:rFonts w:ascii="仿宋" w:hAnsi="仿宋" w:eastAsia="仿宋" w:cs="微软雅黑"/>
          <w:sz w:val="32"/>
          <w:szCs w:val="32"/>
        </w:rPr>
      </w:pPr>
      <w:r>
        <w:rPr>
          <w:rFonts w:hint="eastAsia" w:ascii="仿宋" w:hAnsi="仿宋" w:eastAsia="仿宋"/>
          <w:sz w:val="32"/>
          <w:szCs w:val="32"/>
        </w:rPr>
        <w:t>三十二、申请人知悉，如对本须知或相关服务存在</w:t>
      </w:r>
      <w:r>
        <w:rPr>
          <w:rFonts w:hint="eastAsia" w:ascii="仿宋" w:hAnsi="仿宋" w:eastAsia="仿宋" w:cs="微软雅黑"/>
          <w:sz w:val="32"/>
          <w:szCs w:val="32"/>
        </w:rPr>
        <w:t>疑问</w:t>
      </w:r>
      <w:r>
        <w:rPr>
          <w:rFonts w:hint="eastAsia" w:ascii="仿宋" w:hAnsi="仿宋" w:eastAsia="仿宋"/>
          <w:sz w:val="32"/>
          <w:szCs w:val="32"/>
        </w:rPr>
        <w:t>、投</w:t>
      </w:r>
      <w:r>
        <w:rPr>
          <w:rFonts w:hint="eastAsia" w:ascii="仿宋" w:hAnsi="仿宋" w:eastAsia="仿宋" w:cs="微软雅黑"/>
          <w:sz w:val="32"/>
          <w:szCs w:val="32"/>
        </w:rPr>
        <w:t>诉</w:t>
      </w:r>
      <w:r>
        <w:rPr>
          <w:rFonts w:hint="eastAsia" w:ascii="仿宋" w:hAnsi="仿宋" w:eastAsia="仿宋"/>
          <w:sz w:val="32"/>
          <w:szCs w:val="32"/>
        </w:rPr>
        <w:t>或建议，或需行使申请人</w:t>
      </w:r>
      <w:r>
        <w:rPr>
          <w:rFonts w:hint="eastAsia" w:ascii="仿宋" w:hAnsi="仿宋" w:eastAsia="仿宋"/>
          <w:sz w:val="32"/>
          <w:szCs w:val="32"/>
          <w:lang w:val="en-US" w:eastAsia="zh-CN"/>
        </w:rPr>
        <w:t>对个人信息</w:t>
      </w:r>
      <w:r>
        <w:rPr>
          <w:rFonts w:hint="eastAsia" w:ascii="仿宋" w:hAnsi="仿宋" w:eastAsia="仿宋"/>
          <w:sz w:val="32"/>
          <w:szCs w:val="32"/>
        </w:rPr>
        <w:t>的权利，</w:t>
      </w:r>
      <w:r>
        <w:rPr>
          <w:rFonts w:hint="eastAsia" w:ascii="仿宋" w:hAnsi="仿宋" w:eastAsia="仿宋" w:cs="微软雅黑"/>
          <w:sz w:val="32"/>
          <w:szCs w:val="32"/>
        </w:rPr>
        <w:t>可拨打招商银行咨询投诉电话95555（如您所在地无招商银行营业网点，请拨打0755-95555）、登录</w:t>
      </w:r>
      <w:r>
        <w:rPr>
          <w:rFonts w:ascii="仿宋" w:hAnsi="仿宋" w:eastAsia="仿宋" w:cs="微软雅黑"/>
          <w:sz w:val="32"/>
          <w:szCs w:val="32"/>
        </w:rPr>
        <w:t>官方网站</w:t>
      </w:r>
      <w:r>
        <w:rPr>
          <w:rFonts w:hint="default" w:ascii="仿宋" w:hAnsi="仿宋" w:eastAsia="仿宋" w:cs="微软雅黑"/>
          <w:sz w:val="32"/>
          <w:szCs w:val="32"/>
          <w:lang w:val="en-US"/>
        </w:rPr>
        <w:t>(www.cmbchina.com)</w:t>
      </w:r>
      <w:r>
        <w:rPr>
          <w:rFonts w:hint="eastAsia" w:ascii="仿宋" w:hAnsi="仿宋" w:eastAsia="仿宋" w:cs="微软雅黑"/>
          <w:sz w:val="32"/>
          <w:szCs w:val="32"/>
        </w:rPr>
        <w:t>、</w:t>
      </w:r>
      <w:r>
        <w:rPr>
          <w:rFonts w:ascii="仿宋" w:hAnsi="仿宋" w:eastAsia="仿宋" w:cs="微软雅黑"/>
          <w:sz w:val="32"/>
          <w:szCs w:val="32"/>
        </w:rPr>
        <w:t>招商银行</w:t>
      </w:r>
      <w:r>
        <w:rPr>
          <w:rFonts w:hint="eastAsia" w:ascii="仿宋" w:hAnsi="仿宋" w:eastAsia="仿宋" w:cs="微软雅黑"/>
          <w:sz w:val="32"/>
          <w:szCs w:val="32"/>
        </w:rPr>
        <w:t>App，或通过招商银行各营业网点咨询或反映。</w:t>
      </w:r>
    </w:p>
    <w:p>
      <w:pPr>
        <w:spacing w:line="360" w:lineRule="auto"/>
        <w:ind w:left="0" w:firstLine="640" w:firstLineChars="200"/>
        <w:rPr>
          <w:rFonts w:ascii="仿宋" w:hAnsi="仿宋" w:eastAsia="仿宋"/>
          <w:sz w:val="32"/>
          <w:szCs w:val="32"/>
        </w:rPr>
      </w:pPr>
      <w:r>
        <w:rPr>
          <w:rFonts w:hint="eastAsia" w:ascii="仿宋" w:hAnsi="仿宋" w:eastAsia="仿宋" w:cs="微软雅黑"/>
          <w:sz w:val="32"/>
          <w:szCs w:val="32"/>
        </w:rPr>
        <w:t>三</w:t>
      </w:r>
      <w:r>
        <w:rPr>
          <w:rFonts w:ascii="仿宋" w:hAnsi="仿宋" w:eastAsia="仿宋" w:cs="微软雅黑"/>
          <w:sz w:val="32"/>
          <w:szCs w:val="32"/>
        </w:rPr>
        <w:t>十</w:t>
      </w:r>
      <w:r>
        <w:rPr>
          <w:rFonts w:hint="eastAsia" w:ascii="仿宋" w:hAnsi="仿宋" w:eastAsia="仿宋" w:cs="微软雅黑"/>
          <w:sz w:val="32"/>
          <w:szCs w:val="32"/>
        </w:rPr>
        <w:t>三、</w:t>
      </w:r>
      <w:r>
        <w:rPr>
          <w:rFonts w:ascii="仿宋" w:hAnsi="仿宋" w:eastAsia="仿宋"/>
          <w:sz w:val="32"/>
          <w:szCs w:val="32"/>
        </w:rPr>
        <w:t>本须知中未尽事宜按照我国相关法律法规</w:t>
      </w:r>
      <w:r>
        <w:rPr>
          <w:rFonts w:hint="eastAsia" w:ascii="仿宋" w:hAnsi="仿宋" w:eastAsia="仿宋"/>
          <w:sz w:val="32"/>
          <w:szCs w:val="32"/>
        </w:rPr>
        <w:t>、监管规定或通行的金融惯例</w:t>
      </w:r>
      <w:r>
        <w:rPr>
          <w:rFonts w:ascii="仿宋" w:hAnsi="仿宋" w:eastAsia="仿宋"/>
          <w:sz w:val="32"/>
          <w:szCs w:val="32"/>
        </w:rPr>
        <w:t>办理。</w:t>
      </w:r>
    </w:p>
    <w:p>
      <w:pPr>
        <w:spacing w:line="360" w:lineRule="auto"/>
        <w:ind w:left="0" w:firstLine="560" w:firstLineChars="200"/>
        <w:rPr>
          <w:rFonts w:ascii="仿宋_GB2312" w:hAnsi="Calibri" w:eastAsia="仿宋_GB2312"/>
          <w:sz w:val="28"/>
        </w:rPr>
      </w:pPr>
    </w:p>
    <w:p>
      <w:pPr>
        <w:spacing w:line="360" w:lineRule="auto"/>
        <w:ind w:left="0"/>
        <w:jc w:val="center"/>
        <w:rPr>
          <w:rFonts w:ascii="微软雅黑" w:hAnsi="微软雅黑" w:eastAsia="微软雅黑"/>
          <w:b/>
          <w:sz w:val="44"/>
          <w:szCs w:val="44"/>
        </w:rPr>
      </w:pPr>
      <w:r>
        <w:rPr>
          <w:rFonts w:hint="eastAsia" w:ascii="微软雅黑" w:hAnsi="微软雅黑" w:eastAsia="微软雅黑"/>
          <w:b/>
          <w:sz w:val="44"/>
          <w:szCs w:val="44"/>
        </w:rPr>
        <w:t>一卡通（Ⅱ类）其他须知</w:t>
      </w:r>
    </w:p>
    <w:p>
      <w:pPr>
        <w:spacing w:line="360" w:lineRule="auto"/>
        <w:ind w:left="0"/>
        <w:jc w:val="center"/>
        <w:rPr>
          <w:rFonts w:ascii="仿宋_GB2312" w:eastAsia="仿宋_GB2312"/>
          <w:b/>
          <w:sz w:val="28"/>
          <w:szCs w:val="28"/>
        </w:rPr>
      </w:pPr>
    </w:p>
    <w:p>
      <w:pPr>
        <w:adjustRightInd w:val="0"/>
        <w:snapToGrid w:val="0"/>
        <w:spacing w:line="360" w:lineRule="auto"/>
        <w:ind w:left="0" w:firstLine="640" w:firstLineChars="200"/>
        <w:rPr>
          <w:rFonts w:ascii="仿宋" w:hAnsi="仿宋" w:eastAsia="仿宋"/>
          <w:sz w:val="32"/>
          <w:szCs w:val="32"/>
        </w:rPr>
      </w:pPr>
      <w:r>
        <w:rPr>
          <w:rFonts w:hint="eastAsia" w:ascii="仿宋" w:hAnsi="仿宋" w:eastAsia="仿宋"/>
          <w:sz w:val="32"/>
          <w:szCs w:val="32"/>
        </w:rPr>
        <w:t>一、根据中国人民银行有关个人银行结算账户分类管理的规定，个人银行人民币结算账户（不包括信用卡）划分为三类，即Ⅰ类银行账户、Ⅱ类银行账户和Ⅲ类银行账户。一卡通（Ⅱ类）是指申请人通过招商银行柜台或可视柜台申请开立并领取实物卡片的Ⅱ类银行账户。招商银行通过一卡通（Ⅱ类）为申请人提供购买投资理财产品、发放银行贷款以及限定金额的存取现、消费、缴费及转账等监管机构允许的服务。</w:t>
      </w:r>
    </w:p>
    <w:p>
      <w:pPr>
        <w:adjustRightInd w:val="0"/>
        <w:snapToGrid w:val="0"/>
        <w:spacing w:line="360" w:lineRule="auto"/>
        <w:ind w:left="0" w:firstLine="640" w:firstLineChars="200"/>
        <w:rPr>
          <w:rFonts w:ascii="仿宋" w:hAnsi="仿宋" w:eastAsia="仿宋"/>
          <w:b/>
          <w:bCs/>
          <w:sz w:val="32"/>
          <w:szCs w:val="32"/>
        </w:rPr>
      </w:pPr>
      <w:r>
        <w:rPr>
          <w:rFonts w:hint="eastAsia" w:ascii="仿宋" w:hAnsi="仿宋" w:eastAsia="仿宋"/>
          <w:sz w:val="32"/>
          <w:szCs w:val="32"/>
        </w:rPr>
        <w:t>二、一卡通（Ⅱ类）申请人可自行选择是否绑定本人在招商银行或其他银行开立的Ⅰ类账户，或是否发起与绑定卡之间的资金转入、转出请求。申请人</w:t>
      </w:r>
      <w:r>
        <w:rPr>
          <w:rFonts w:ascii="仿宋" w:hAnsi="仿宋" w:eastAsia="仿宋"/>
          <w:sz w:val="32"/>
          <w:szCs w:val="32"/>
        </w:rPr>
        <w:t>同意在</w:t>
      </w:r>
      <w:r>
        <w:rPr>
          <w:rFonts w:hint="eastAsia" w:ascii="仿宋" w:hAnsi="仿宋" w:eastAsia="仿宋"/>
          <w:sz w:val="32"/>
          <w:szCs w:val="32"/>
        </w:rPr>
        <w:t>向招商银行</w:t>
      </w:r>
      <w:r>
        <w:rPr>
          <w:rFonts w:ascii="仿宋" w:hAnsi="仿宋" w:eastAsia="仿宋"/>
          <w:sz w:val="32"/>
          <w:szCs w:val="32"/>
        </w:rPr>
        <w:t>发起</w:t>
      </w:r>
      <w:r>
        <w:rPr>
          <w:rFonts w:hint="eastAsia" w:ascii="仿宋" w:hAnsi="仿宋" w:eastAsia="仿宋"/>
          <w:sz w:val="32"/>
          <w:szCs w:val="32"/>
        </w:rPr>
        <w:t>绑定卡转入</w:t>
      </w:r>
      <w:r>
        <w:rPr>
          <w:rFonts w:ascii="仿宋" w:hAnsi="仿宋" w:eastAsia="仿宋"/>
          <w:sz w:val="32"/>
          <w:szCs w:val="32"/>
        </w:rPr>
        <w:t>请求后，由招商银行</w:t>
      </w:r>
      <w:r>
        <w:rPr>
          <w:rFonts w:hint="eastAsia" w:ascii="仿宋" w:hAnsi="仿宋" w:eastAsia="仿宋"/>
          <w:sz w:val="32"/>
          <w:szCs w:val="32"/>
        </w:rPr>
        <w:t>按照申请人请求</w:t>
      </w:r>
      <w:r>
        <w:rPr>
          <w:rFonts w:ascii="仿宋" w:hAnsi="仿宋" w:eastAsia="仿宋"/>
          <w:sz w:val="32"/>
          <w:szCs w:val="32"/>
        </w:rPr>
        <w:t>从</w:t>
      </w:r>
      <w:r>
        <w:rPr>
          <w:rFonts w:hint="eastAsia" w:ascii="仿宋" w:hAnsi="仿宋" w:eastAsia="仿宋"/>
          <w:sz w:val="32"/>
          <w:szCs w:val="32"/>
        </w:rPr>
        <w:t>申请人在</w:t>
      </w:r>
      <w:r>
        <w:rPr>
          <w:rFonts w:ascii="仿宋" w:hAnsi="仿宋" w:eastAsia="仿宋"/>
          <w:sz w:val="32"/>
          <w:szCs w:val="32"/>
        </w:rPr>
        <w:t>本行开立的绑定账户或通过各类</w:t>
      </w:r>
      <w:r>
        <w:rPr>
          <w:rFonts w:hint="eastAsia" w:ascii="黑体" w:hAnsi="黑体" w:eastAsia="黑体"/>
          <w:b/>
          <w:sz w:val="32"/>
          <w:szCs w:val="32"/>
        </w:rPr>
        <w:t>跨行转接通道从他行开立的绑定</w:t>
      </w:r>
      <w:r>
        <w:rPr>
          <w:rFonts w:hint="eastAsia" w:ascii="仿宋" w:hAnsi="仿宋" w:eastAsia="仿宋"/>
          <w:sz w:val="32"/>
          <w:szCs w:val="32"/>
        </w:rPr>
        <w:t>账户</w:t>
      </w:r>
      <w:r>
        <w:rPr>
          <w:rFonts w:ascii="仿宋" w:hAnsi="仿宋" w:eastAsia="仿宋"/>
          <w:sz w:val="32"/>
          <w:szCs w:val="32"/>
        </w:rPr>
        <w:t>中划扣相应的款项，实时转入（Ⅱ类）户。</w:t>
      </w:r>
      <w:r>
        <w:rPr>
          <w:rFonts w:ascii="仿宋" w:hAnsi="仿宋" w:eastAsia="仿宋"/>
          <w:b/>
          <w:bCs/>
          <w:sz w:val="32"/>
          <w:szCs w:val="32"/>
        </w:rPr>
        <w:t>申请人同意在</w:t>
      </w:r>
      <w:r>
        <w:rPr>
          <w:rFonts w:hint="eastAsia" w:ascii="仿宋" w:hAnsi="仿宋" w:eastAsia="仿宋"/>
          <w:b/>
          <w:bCs/>
          <w:sz w:val="32"/>
          <w:szCs w:val="32"/>
        </w:rPr>
        <w:t>向招商银行</w:t>
      </w:r>
      <w:r>
        <w:rPr>
          <w:rFonts w:ascii="仿宋" w:hAnsi="仿宋" w:eastAsia="仿宋"/>
          <w:b/>
          <w:bCs/>
          <w:sz w:val="32"/>
          <w:szCs w:val="32"/>
        </w:rPr>
        <w:t>发起</w:t>
      </w:r>
      <w:r>
        <w:rPr>
          <w:rFonts w:hint="eastAsia" w:ascii="仿宋" w:hAnsi="仿宋" w:eastAsia="仿宋"/>
          <w:b/>
          <w:bCs/>
          <w:sz w:val="32"/>
          <w:szCs w:val="32"/>
        </w:rPr>
        <w:t>绑定卡转出</w:t>
      </w:r>
      <w:r>
        <w:rPr>
          <w:rFonts w:ascii="仿宋" w:hAnsi="仿宋" w:eastAsia="仿宋"/>
          <w:b/>
          <w:bCs/>
          <w:sz w:val="32"/>
          <w:szCs w:val="32"/>
        </w:rPr>
        <w:t>请求后，由招商银行</w:t>
      </w:r>
      <w:r>
        <w:rPr>
          <w:rFonts w:hint="eastAsia" w:ascii="仿宋" w:hAnsi="仿宋" w:eastAsia="仿宋"/>
          <w:b/>
          <w:bCs/>
          <w:sz w:val="32"/>
          <w:szCs w:val="32"/>
        </w:rPr>
        <w:t>按照申请人请求</w:t>
      </w:r>
      <w:r>
        <w:rPr>
          <w:rFonts w:ascii="仿宋" w:hAnsi="仿宋" w:eastAsia="仿宋"/>
          <w:b/>
          <w:bCs/>
          <w:sz w:val="32"/>
          <w:szCs w:val="32"/>
        </w:rPr>
        <w:t>从</w:t>
      </w:r>
      <w:r>
        <w:rPr>
          <w:rFonts w:hint="eastAsia" w:ascii="仿宋" w:hAnsi="仿宋" w:eastAsia="仿宋"/>
          <w:b/>
          <w:bCs/>
          <w:sz w:val="32"/>
          <w:szCs w:val="32"/>
        </w:rPr>
        <w:t>申请人</w:t>
      </w:r>
      <w:r>
        <w:rPr>
          <w:rFonts w:ascii="仿宋" w:hAnsi="仿宋" w:eastAsia="仿宋"/>
          <w:b/>
          <w:bCs/>
          <w:sz w:val="32"/>
          <w:szCs w:val="32"/>
        </w:rPr>
        <w:t>（Ⅱ类）户划扣相应的款项，实时转入</w:t>
      </w:r>
      <w:r>
        <w:rPr>
          <w:rFonts w:hint="eastAsia" w:ascii="仿宋" w:hAnsi="仿宋" w:eastAsia="仿宋"/>
          <w:b/>
          <w:bCs/>
          <w:sz w:val="32"/>
          <w:szCs w:val="32"/>
        </w:rPr>
        <w:t>申请人在</w:t>
      </w:r>
      <w:r>
        <w:rPr>
          <w:rFonts w:ascii="仿宋" w:hAnsi="仿宋" w:eastAsia="仿宋"/>
          <w:b/>
          <w:bCs/>
          <w:sz w:val="32"/>
          <w:szCs w:val="32"/>
        </w:rPr>
        <w:t>本行</w:t>
      </w:r>
      <w:r>
        <w:rPr>
          <w:rFonts w:hint="eastAsia" w:ascii="仿宋" w:hAnsi="仿宋" w:eastAsia="仿宋"/>
          <w:b/>
          <w:bCs/>
          <w:sz w:val="32"/>
          <w:szCs w:val="32"/>
        </w:rPr>
        <w:t>或他行</w:t>
      </w:r>
      <w:r>
        <w:rPr>
          <w:rFonts w:ascii="仿宋" w:hAnsi="仿宋" w:eastAsia="仿宋"/>
          <w:b/>
          <w:bCs/>
          <w:sz w:val="32"/>
          <w:szCs w:val="32"/>
        </w:rPr>
        <w:t>开立的绑定账户。</w:t>
      </w:r>
    </w:p>
    <w:p>
      <w:pPr>
        <w:adjustRightInd w:val="0"/>
        <w:snapToGrid w:val="0"/>
        <w:spacing w:line="360" w:lineRule="auto"/>
        <w:ind w:left="0" w:firstLine="640" w:firstLineChars="200"/>
        <w:rPr>
          <w:rFonts w:ascii="仿宋_GB2312" w:eastAsia="仿宋_GB2312"/>
          <w:sz w:val="32"/>
          <w:szCs w:val="32"/>
        </w:rPr>
      </w:pPr>
      <w:r>
        <w:rPr>
          <w:rFonts w:hint="eastAsia" w:ascii="仿宋" w:hAnsi="仿宋" w:eastAsia="仿宋"/>
          <w:sz w:val="32"/>
          <w:szCs w:val="32"/>
        </w:rPr>
        <w:t>三、</w:t>
      </w:r>
      <w:r>
        <w:rPr>
          <w:rFonts w:hint="eastAsia" w:ascii="黑体" w:hAnsi="黑体" w:eastAsia="黑体"/>
          <w:b/>
          <w:sz w:val="32"/>
          <w:szCs w:val="32"/>
        </w:rPr>
        <w:t>申请人同意招商银行根据法律法规、监管机构的规定，对一卡通（Ⅱ类）的消费、转账及存取现金等业务设置限额。</w:t>
      </w:r>
      <w:r>
        <w:rPr>
          <w:rFonts w:hint="eastAsia" w:ascii="仿宋" w:hAnsi="仿宋" w:eastAsia="仿宋"/>
          <w:sz w:val="32"/>
          <w:szCs w:val="32"/>
        </w:rPr>
        <w:t>一卡通（Ⅱ类）消费、缴费及向非绑定账户</w:t>
      </w:r>
      <w:r>
        <w:rPr>
          <w:rFonts w:hint="eastAsia" w:ascii="仿宋" w:hAnsi="仿宋" w:eastAsia="仿宋"/>
          <w:b/>
          <w:bCs/>
          <w:sz w:val="32"/>
          <w:szCs w:val="32"/>
        </w:rPr>
        <w:t>转出资金/取出现金日累计限额合计为1万元，年累计限额合计为20万元</w:t>
      </w:r>
      <w:r>
        <w:rPr>
          <w:rFonts w:hint="eastAsia" w:ascii="仿宋" w:hAnsi="仿宋" w:eastAsia="仿宋"/>
          <w:sz w:val="32"/>
          <w:szCs w:val="32"/>
        </w:rPr>
        <w:t>（如监管机构的规定发生变化，限额随之调整，下同）。一卡通（Ⅱ类）从非绑定账户</w:t>
      </w:r>
      <w:r>
        <w:rPr>
          <w:rFonts w:hint="eastAsia" w:ascii="仿宋" w:hAnsi="仿宋" w:eastAsia="仿宋"/>
          <w:b/>
          <w:bCs/>
          <w:sz w:val="32"/>
          <w:szCs w:val="32"/>
        </w:rPr>
        <w:t>转入资金/存入现金日累计限额合计为1万元，年累计限额合计为20万元。</w:t>
      </w:r>
      <w:r>
        <w:rPr>
          <w:rFonts w:hint="eastAsia" w:ascii="仿宋" w:hAnsi="仿宋" w:eastAsia="仿宋"/>
          <w:sz w:val="32"/>
          <w:szCs w:val="32"/>
        </w:rPr>
        <w:t>一卡通（Ⅱ类）与绑定账户之间的资金转入与转出、购买/赎回理财产品、发放招商</w:t>
      </w:r>
      <w:r>
        <w:rPr>
          <w:rFonts w:ascii="仿宋" w:hAnsi="仿宋" w:eastAsia="仿宋"/>
          <w:sz w:val="32"/>
          <w:szCs w:val="32"/>
        </w:rPr>
        <w:t>银行</w:t>
      </w:r>
      <w:r>
        <w:rPr>
          <w:rFonts w:hint="eastAsia" w:ascii="仿宋" w:hAnsi="仿宋" w:eastAsia="仿宋"/>
          <w:sz w:val="32"/>
          <w:szCs w:val="32"/>
        </w:rPr>
        <w:t>贷款及贷款资金归还不受转账限额规定。</w:t>
      </w:r>
      <w:r>
        <w:rPr>
          <w:rFonts w:hint="eastAsia" w:ascii="黑体" w:hAnsi="黑体" w:eastAsia="黑体"/>
          <w:b/>
          <w:sz w:val="32"/>
          <w:szCs w:val="32"/>
        </w:rPr>
        <w:t>除以上限额规定，一卡通（Ⅱ类）同时还受限于单项业务本身的限额管控（包括申请人自行设定以及招商银行根据业务特点、风险控管等因素统一设定的限额等）。</w:t>
      </w:r>
    </w:p>
    <w:p>
      <w:pPr>
        <w:spacing w:line="360" w:lineRule="auto"/>
        <w:ind w:left="0" w:firstLine="643" w:firstLineChars="200"/>
        <w:jc w:val="center"/>
        <w:rPr>
          <w:rFonts w:ascii="仿宋_GB2312" w:eastAsia="仿宋_GB2312"/>
          <w:b/>
          <w:sz w:val="32"/>
          <w:szCs w:val="32"/>
        </w:rPr>
      </w:pPr>
    </w:p>
    <w:p>
      <w:pPr>
        <w:spacing w:line="360" w:lineRule="auto"/>
        <w:ind w:left="0" w:firstLine="880" w:firstLineChars="200"/>
        <w:jc w:val="center"/>
        <w:rPr>
          <w:rFonts w:ascii="微软雅黑" w:hAnsi="微软雅黑" w:eastAsia="微软雅黑"/>
          <w:b/>
          <w:sz w:val="44"/>
          <w:szCs w:val="44"/>
        </w:rPr>
      </w:pPr>
      <w:r>
        <w:rPr>
          <w:rFonts w:hint="eastAsia" w:ascii="微软雅黑" w:hAnsi="微软雅黑" w:eastAsia="微软雅黑"/>
          <w:b/>
          <w:sz w:val="44"/>
          <w:szCs w:val="44"/>
        </w:rPr>
        <w:t>“电子一卡通”其他须知</w:t>
      </w:r>
    </w:p>
    <w:p>
      <w:pPr>
        <w:spacing w:line="360" w:lineRule="auto"/>
        <w:ind w:left="0" w:firstLine="643" w:firstLineChars="200"/>
        <w:jc w:val="center"/>
        <w:rPr>
          <w:rFonts w:ascii="仿宋_GB2312" w:eastAsia="仿宋_GB2312"/>
          <w:b/>
          <w:sz w:val="32"/>
          <w:szCs w:val="32"/>
        </w:rPr>
      </w:pPr>
    </w:p>
    <w:p>
      <w:pPr>
        <w:adjustRightInd w:val="0"/>
        <w:snapToGrid w:val="0"/>
        <w:spacing w:line="360" w:lineRule="auto"/>
        <w:ind w:left="0"/>
        <w:rPr>
          <w:rFonts w:ascii="仿宋" w:hAnsi="仿宋" w:eastAsia="仿宋"/>
          <w:sz w:val="32"/>
          <w:szCs w:val="32"/>
        </w:rPr>
      </w:pPr>
      <w:r>
        <w:rPr>
          <w:rFonts w:hint="eastAsia" w:ascii="仿宋_GB2312" w:eastAsia="仿宋_GB2312"/>
          <w:sz w:val="28"/>
          <w:szCs w:val="28"/>
        </w:rPr>
        <w:t xml:space="preserve">   </w:t>
      </w:r>
      <w:r>
        <w:rPr>
          <w:rFonts w:hint="eastAsia" w:ascii="仿宋" w:hAnsi="仿宋" w:eastAsia="仿宋"/>
          <w:sz w:val="28"/>
          <w:szCs w:val="28"/>
        </w:rPr>
        <w:t xml:space="preserve"> </w:t>
      </w:r>
      <w:r>
        <w:rPr>
          <w:rFonts w:hint="eastAsia" w:ascii="仿宋" w:hAnsi="仿宋" w:eastAsia="仿宋"/>
          <w:sz w:val="32"/>
          <w:szCs w:val="32"/>
        </w:rPr>
        <w:t>招商银行“电子一卡通”是指暂时不配实物凭证的“一卡通”，申请人后续可根据需要配实体卡使用或一直不配卡使用。“电子一卡通”在配实体卡前不能办理需要刷卡办理的业务，其他视同“一卡通”处理。</w:t>
      </w:r>
    </w:p>
    <w:p>
      <w:pPr>
        <w:spacing w:line="360" w:lineRule="auto"/>
        <w:jc w:val="center"/>
        <w:rPr>
          <w:rFonts w:ascii="仿宋_GB2312" w:eastAsia="仿宋_GB2312"/>
          <w:b/>
          <w:sz w:val="32"/>
          <w:szCs w:val="32"/>
        </w:rPr>
      </w:pPr>
    </w:p>
    <w:p>
      <w:pPr>
        <w:spacing w:line="360" w:lineRule="auto"/>
        <w:rPr>
          <w:rFonts w:ascii="仿宋_GB2312" w:eastAsia="仿宋_GB2312"/>
          <w:b/>
          <w:sz w:val="32"/>
          <w:szCs w:val="32"/>
        </w:rPr>
      </w:pPr>
    </w:p>
    <w:sectPr>
      <w:headerReference r:id="rId3" w:type="default"/>
      <w:footerReference r:id="rId4" w:type="default"/>
      <w:pgSz w:w="11906" w:h="16838"/>
      <w:pgMar w:top="1474" w:right="1418" w:bottom="1247" w:left="1418" w:header="851" w:footer="794" w:gutter="0"/>
      <w:cols w:space="720" w:num="1"/>
      <w:docGrid w:type="lines" w:linePitch="318"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___WRD_EMBED_SUB_39">
    <w:altName w:val="宋体"/>
    <w:panose1 w:val="00000000000000000000"/>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微软雅黑"/>
        <w:b/>
        <w:sz w:val="21"/>
        <w:szCs w:val="21"/>
      </w:rPr>
    </w:pPr>
    <w:r>
      <w:rPr>
        <w:lang w:val="zh-CN"/>
      </w:rPr>
      <w:t xml:space="preserve"> </w:t>
    </w:r>
    <w:r>
      <w:rPr>
        <w:rFonts w:hint="eastAsia" w:hAnsi="微软雅黑"/>
        <w:sz w:val="15"/>
        <w:szCs w:val="15"/>
        <w:lang w:val="zh-CN"/>
      </w:rPr>
      <w:t>第</w:t>
    </w:r>
    <w:r>
      <w:rPr>
        <w:rFonts w:hAnsi="微软雅黑"/>
        <w:sz w:val="15"/>
        <w:szCs w:val="15"/>
      </w:rPr>
      <w:fldChar w:fldCharType="begin"/>
    </w:r>
    <w:r>
      <w:rPr>
        <w:rFonts w:hAnsi="微软雅黑"/>
        <w:sz w:val="15"/>
        <w:szCs w:val="15"/>
      </w:rPr>
      <w:instrText xml:space="preserve">PAGE</w:instrText>
    </w:r>
    <w:r>
      <w:rPr>
        <w:rFonts w:hAnsi="微软雅黑"/>
        <w:sz w:val="15"/>
        <w:szCs w:val="15"/>
      </w:rPr>
      <w:fldChar w:fldCharType="separate"/>
    </w:r>
    <w:r>
      <w:rPr>
        <w:rFonts w:hAnsi="微软雅黑"/>
        <w:sz w:val="15"/>
        <w:szCs w:val="15"/>
      </w:rPr>
      <w:t>6</w:t>
    </w:r>
    <w:r>
      <w:rPr>
        <w:rFonts w:hAnsi="微软雅黑"/>
        <w:sz w:val="15"/>
        <w:szCs w:val="15"/>
      </w:rPr>
      <w:fldChar w:fldCharType="end"/>
    </w:r>
    <w:r>
      <w:rPr>
        <w:rFonts w:hint="eastAsia" w:hAnsi="微软雅黑"/>
        <w:sz w:val="15"/>
        <w:szCs w:val="15"/>
      </w:rPr>
      <w:t>页</w:t>
    </w:r>
    <w:r>
      <w:rPr>
        <w:rFonts w:hAnsi="微软雅黑"/>
        <w:sz w:val="15"/>
        <w:szCs w:val="15"/>
        <w:lang w:val="zh-CN"/>
      </w:rPr>
      <w:t xml:space="preserve"> /</w:t>
    </w:r>
    <w:r>
      <w:rPr>
        <w:rFonts w:hint="eastAsia" w:hAnsi="微软雅黑"/>
        <w:sz w:val="15"/>
        <w:szCs w:val="15"/>
        <w:lang w:val="zh-CN"/>
      </w:rPr>
      <w:t xml:space="preserve"> 共 </w:t>
    </w:r>
    <w:r>
      <w:rPr>
        <w:rFonts w:hint="eastAsia" w:hAnsi="微软雅黑"/>
        <w:sz w:val="15"/>
        <w:szCs w:val="15"/>
      </w:rPr>
      <w:fldChar w:fldCharType="begin"/>
    </w:r>
    <w:r>
      <w:rPr>
        <w:rFonts w:hint="eastAsia" w:hAnsi="微软雅黑"/>
        <w:sz w:val="15"/>
        <w:szCs w:val="15"/>
      </w:rPr>
      <w:instrText xml:space="preserve">NUMPAGES</w:instrText>
    </w:r>
    <w:r>
      <w:rPr>
        <w:rFonts w:hint="eastAsia" w:hAnsi="微软雅黑"/>
        <w:sz w:val="15"/>
        <w:szCs w:val="15"/>
      </w:rPr>
      <w:fldChar w:fldCharType="separate"/>
    </w:r>
    <w:r>
      <w:rPr>
        <w:rFonts w:hAnsi="微软雅黑"/>
        <w:sz w:val="15"/>
        <w:szCs w:val="15"/>
      </w:rPr>
      <w:t>20</w:t>
    </w:r>
    <w:r>
      <w:rPr>
        <w:rFonts w:hint="eastAsia" w:hAnsi="微软雅黑"/>
        <w:sz w:val="15"/>
        <w:szCs w:val="15"/>
      </w:rPr>
      <w:fldChar w:fldCharType="end"/>
    </w:r>
    <w:r>
      <w:rPr>
        <w:rFonts w:hint="eastAsia" w:hAnsi="微软雅黑"/>
        <w:sz w:val="15"/>
        <w:szCs w:val="15"/>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drawing>
        <wp:anchor distT="0" distB="0" distL="114300" distR="114300" simplePos="0" relativeHeight="251659264" behindDoc="1" locked="0" layoutInCell="1" allowOverlap="1">
          <wp:simplePos x="0" y="0"/>
          <wp:positionH relativeFrom="column">
            <wp:posOffset>4624070</wp:posOffset>
          </wp:positionH>
          <wp:positionV relativeFrom="paragraph">
            <wp:posOffset>-130810</wp:posOffset>
          </wp:positionV>
          <wp:extent cx="1276350" cy="314325"/>
          <wp:effectExtent l="0" t="0" r="0" b="9525"/>
          <wp:wrapNone/>
          <wp:docPr id="2" name="图片 0" descr="复件 招行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复件 招行logo.tif"/>
                  <pic:cNvPicPr>
                    <a:picLocks noChangeAspect="1"/>
                  </pic:cNvPicPr>
                </pic:nvPicPr>
                <pic:blipFill>
                  <a:blip r:embed="rId1"/>
                  <a:stretch>
                    <a:fillRect/>
                  </a:stretch>
                </pic:blipFill>
                <pic:spPr>
                  <a:xfrm>
                    <a:off x="0" y="0"/>
                    <a:ext cx="1276350" cy="3143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8"/>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C8"/>
    <w:rsid w:val="000006C6"/>
    <w:rsid w:val="00002625"/>
    <w:rsid w:val="00002CE3"/>
    <w:rsid w:val="000037A4"/>
    <w:rsid w:val="00003FD0"/>
    <w:rsid w:val="000104A6"/>
    <w:rsid w:val="000106E0"/>
    <w:rsid w:val="00011EF3"/>
    <w:rsid w:val="00012EC1"/>
    <w:rsid w:val="00013DCF"/>
    <w:rsid w:val="00014529"/>
    <w:rsid w:val="00014B17"/>
    <w:rsid w:val="00020B6F"/>
    <w:rsid w:val="0002184B"/>
    <w:rsid w:val="00022FD8"/>
    <w:rsid w:val="00023B97"/>
    <w:rsid w:val="00025CC5"/>
    <w:rsid w:val="000270A2"/>
    <w:rsid w:val="00027B66"/>
    <w:rsid w:val="00031FDE"/>
    <w:rsid w:val="000333A5"/>
    <w:rsid w:val="000334B6"/>
    <w:rsid w:val="0003374A"/>
    <w:rsid w:val="000341E4"/>
    <w:rsid w:val="00034D73"/>
    <w:rsid w:val="000356EF"/>
    <w:rsid w:val="00035CE6"/>
    <w:rsid w:val="00036277"/>
    <w:rsid w:val="000363C4"/>
    <w:rsid w:val="00037668"/>
    <w:rsid w:val="000407CF"/>
    <w:rsid w:val="00040978"/>
    <w:rsid w:val="00041C3E"/>
    <w:rsid w:val="000442EF"/>
    <w:rsid w:val="000453AB"/>
    <w:rsid w:val="000466AF"/>
    <w:rsid w:val="000467BD"/>
    <w:rsid w:val="00046955"/>
    <w:rsid w:val="0005048A"/>
    <w:rsid w:val="00051476"/>
    <w:rsid w:val="00052AEB"/>
    <w:rsid w:val="0005342A"/>
    <w:rsid w:val="00053E7C"/>
    <w:rsid w:val="00054F3D"/>
    <w:rsid w:val="000566E3"/>
    <w:rsid w:val="00057379"/>
    <w:rsid w:val="0006065F"/>
    <w:rsid w:val="000608B1"/>
    <w:rsid w:val="000616CB"/>
    <w:rsid w:val="00063887"/>
    <w:rsid w:val="00064112"/>
    <w:rsid w:val="000663D9"/>
    <w:rsid w:val="00066F28"/>
    <w:rsid w:val="000704CB"/>
    <w:rsid w:val="00070CBE"/>
    <w:rsid w:val="000714B1"/>
    <w:rsid w:val="00071A9F"/>
    <w:rsid w:val="00072444"/>
    <w:rsid w:val="00072867"/>
    <w:rsid w:val="00072DFA"/>
    <w:rsid w:val="00074C8A"/>
    <w:rsid w:val="00076727"/>
    <w:rsid w:val="00076956"/>
    <w:rsid w:val="00076C82"/>
    <w:rsid w:val="00077683"/>
    <w:rsid w:val="00077A21"/>
    <w:rsid w:val="00077E69"/>
    <w:rsid w:val="000812E6"/>
    <w:rsid w:val="0008180A"/>
    <w:rsid w:val="00081F96"/>
    <w:rsid w:val="00084389"/>
    <w:rsid w:val="0008463F"/>
    <w:rsid w:val="00086064"/>
    <w:rsid w:val="00086580"/>
    <w:rsid w:val="00087650"/>
    <w:rsid w:val="0008783F"/>
    <w:rsid w:val="00090542"/>
    <w:rsid w:val="0009079D"/>
    <w:rsid w:val="00095E25"/>
    <w:rsid w:val="000970D1"/>
    <w:rsid w:val="00097322"/>
    <w:rsid w:val="000A09F1"/>
    <w:rsid w:val="000A1574"/>
    <w:rsid w:val="000A24A2"/>
    <w:rsid w:val="000A2676"/>
    <w:rsid w:val="000A3FAB"/>
    <w:rsid w:val="000A47FF"/>
    <w:rsid w:val="000A50F7"/>
    <w:rsid w:val="000A6FDD"/>
    <w:rsid w:val="000B0BE0"/>
    <w:rsid w:val="000B1836"/>
    <w:rsid w:val="000B28D8"/>
    <w:rsid w:val="000B5C7D"/>
    <w:rsid w:val="000B5D5B"/>
    <w:rsid w:val="000B6044"/>
    <w:rsid w:val="000C1945"/>
    <w:rsid w:val="000C1A32"/>
    <w:rsid w:val="000C3CA4"/>
    <w:rsid w:val="000C58BB"/>
    <w:rsid w:val="000C5C5C"/>
    <w:rsid w:val="000C5E76"/>
    <w:rsid w:val="000C61DC"/>
    <w:rsid w:val="000C6778"/>
    <w:rsid w:val="000C7CF0"/>
    <w:rsid w:val="000D1253"/>
    <w:rsid w:val="000D133B"/>
    <w:rsid w:val="000D1495"/>
    <w:rsid w:val="000D5ED9"/>
    <w:rsid w:val="000D5F4E"/>
    <w:rsid w:val="000D671F"/>
    <w:rsid w:val="000D6E9E"/>
    <w:rsid w:val="000D72D4"/>
    <w:rsid w:val="000D768C"/>
    <w:rsid w:val="000D7FF6"/>
    <w:rsid w:val="000E1366"/>
    <w:rsid w:val="000E1B6E"/>
    <w:rsid w:val="000E1B88"/>
    <w:rsid w:val="000E1E36"/>
    <w:rsid w:val="000E28E1"/>
    <w:rsid w:val="000E2E12"/>
    <w:rsid w:val="000E2F4E"/>
    <w:rsid w:val="000E32D0"/>
    <w:rsid w:val="000E34F6"/>
    <w:rsid w:val="000F139C"/>
    <w:rsid w:val="000F14B4"/>
    <w:rsid w:val="000F1B9B"/>
    <w:rsid w:val="000F2116"/>
    <w:rsid w:val="000F3A05"/>
    <w:rsid w:val="000F3B4C"/>
    <w:rsid w:val="000F3C54"/>
    <w:rsid w:val="000F3D32"/>
    <w:rsid w:val="000F428C"/>
    <w:rsid w:val="000F7009"/>
    <w:rsid w:val="000F7FBE"/>
    <w:rsid w:val="00100051"/>
    <w:rsid w:val="00101BC5"/>
    <w:rsid w:val="0010366F"/>
    <w:rsid w:val="00103941"/>
    <w:rsid w:val="001055F8"/>
    <w:rsid w:val="00107980"/>
    <w:rsid w:val="00110058"/>
    <w:rsid w:val="00111190"/>
    <w:rsid w:val="0011610B"/>
    <w:rsid w:val="00116A75"/>
    <w:rsid w:val="00116F91"/>
    <w:rsid w:val="00117665"/>
    <w:rsid w:val="001202AC"/>
    <w:rsid w:val="00121296"/>
    <w:rsid w:val="001217C0"/>
    <w:rsid w:val="001217F0"/>
    <w:rsid w:val="00122478"/>
    <w:rsid w:val="0012294F"/>
    <w:rsid w:val="001256AE"/>
    <w:rsid w:val="001268B5"/>
    <w:rsid w:val="001301E8"/>
    <w:rsid w:val="00130E01"/>
    <w:rsid w:val="00131632"/>
    <w:rsid w:val="00131C68"/>
    <w:rsid w:val="0013388A"/>
    <w:rsid w:val="00135968"/>
    <w:rsid w:val="00137462"/>
    <w:rsid w:val="00140969"/>
    <w:rsid w:val="00140E57"/>
    <w:rsid w:val="00141A63"/>
    <w:rsid w:val="00141CE6"/>
    <w:rsid w:val="00141F0A"/>
    <w:rsid w:val="00142660"/>
    <w:rsid w:val="0014266C"/>
    <w:rsid w:val="00142ADE"/>
    <w:rsid w:val="00143FCA"/>
    <w:rsid w:val="001511AE"/>
    <w:rsid w:val="001517BD"/>
    <w:rsid w:val="00152234"/>
    <w:rsid w:val="0015270A"/>
    <w:rsid w:val="001537B9"/>
    <w:rsid w:val="0016005D"/>
    <w:rsid w:val="00163C36"/>
    <w:rsid w:val="00163F57"/>
    <w:rsid w:val="00164C8D"/>
    <w:rsid w:val="00164EBE"/>
    <w:rsid w:val="00166192"/>
    <w:rsid w:val="00167114"/>
    <w:rsid w:val="00170758"/>
    <w:rsid w:val="0017143D"/>
    <w:rsid w:val="00171E08"/>
    <w:rsid w:val="00172166"/>
    <w:rsid w:val="00172A93"/>
    <w:rsid w:val="00172F07"/>
    <w:rsid w:val="00173AD2"/>
    <w:rsid w:val="001748C9"/>
    <w:rsid w:val="00174CD1"/>
    <w:rsid w:val="00177532"/>
    <w:rsid w:val="0017788C"/>
    <w:rsid w:val="001846D4"/>
    <w:rsid w:val="00184B2F"/>
    <w:rsid w:val="001853F0"/>
    <w:rsid w:val="001853F6"/>
    <w:rsid w:val="0018565F"/>
    <w:rsid w:val="0018663E"/>
    <w:rsid w:val="001867E7"/>
    <w:rsid w:val="001918F8"/>
    <w:rsid w:val="001920FC"/>
    <w:rsid w:val="00192F3F"/>
    <w:rsid w:val="00193009"/>
    <w:rsid w:val="00196738"/>
    <w:rsid w:val="001A03D5"/>
    <w:rsid w:val="001A1250"/>
    <w:rsid w:val="001A1905"/>
    <w:rsid w:val="001A1D4F"/>
    <w:rsid w:val="001A28FA"/>
    <w:rsid w:val="001A2FA3"/>
    <w:rsid w:val="001A3625"/>
    <w:rsid w:val="001A3715"/>
    <w:rsid w:val="001A384C"/>
    <w:rsid w:val="001A6248"/>
    <w:rsid w:val="001A7E31"/>
    <w:rsid w:val="001B09CB"/>
    <w:rsid w:val="001B0E15"/>
    <w:rsid w:val="001B1032"/>
    <w:rsid w:val="001B3EB2"/>
    <w:rsid w:val="001B51BF"/>
    <w:rsid w:val="001B713F"/>
    <w:rsid w:val="001B7E94"/>
    <w:rsid w:val="001C0E05"/>
    <w:rsid w:val="001C14CD"/>
    <w:rsid w:val="001C27CF"/>
    <w:rsid w:val="001C2BF8"/>
    <w:rsid w:val="001C533B"/>
    <w:rsid w:val="001C5B18"/>
    <w:rsid w:val="001C6413"/>
    <w:rsid w:val="001C7387"/>
    <w:rsid w:val="001C7830"/>
    <w:rsid w:val="001C7E60"/>
    <w:rsid w:val="001D0597"/>
    <w:rsid w:val="001D0E12"/>
    <w:rsid w:val="001D175F"/>
    <w:rsid w:val="001D4635"/>
    <w:rsid w:val="001D4E1C"/>
    <w:rsid w:val="001D60C2"/>
    <w:rsid w:val="001D75C2"/>
    <w:rsid w:val="001E129D"/>
    <w:rsid w:val="001E19B2"/>
    <w:rsid w:val="001E2086"/>
    <w:rsid w:val="001E312F"/>
    <w:rsid w:val="001E4DED"/>
    <w:rsid w:val="001E54E1"/>
    <w:rsid w:val="001E5F88"/>
    <w:rsid w:val="001E6469"/>
    <w:rsid w:val="001E6893"/>
    <w:rsid w:val="001E6DC8"/>
    <w:rsid w:val="001E7D36"/>
    <w:rsid w:val="001F155B"/>
    <w:rsid w:val="001F1826"/>
    <w:rsid w:val="001F2461"/>
    <w:rsid w:val="001F2950"/>
    <w:rsid w:val="001F2DAB"/>
    <w:rsid w:val="001F3A6A"/>
    <w:rsid w:val="001F46FA"/>
    <w:rsid w:val="001F795B"/>
    <w:rsid w:val="00200687"/>
    <w:rsid w:val="00204001"/>
    <w:rsid w:val="002069AA"/>
    <w:rsid w:val="0020781D"/>
    <w:rsid w:val="0021063E"/>
    <w:rsid w:val="002117C6"/>
    <w:rsid w:val="002120D8"/>
    <w:rsid w:val="002129B7"/>
    <w:rsid w:val="002137B6"/>
    <w:rsid w:val="0021416F"/>
    <w:rsid w:val="0021438D"/>
    <w:rsid w:val="00214C1A"/>
    <w:rsid w:val="0021592B"/>
    <w:rsid w:val="00215D3D"/>
    <w:rsid w:val="00215F32"/>
    <w:rsid w:val="00216853"/>
    <w:rsid w:val="002174A4"/>
    <w:rsid w:val="00221445"/>
    <w:rsid w:val="00221ECE"/>
    <w:rsid w:val="00222234"/>
    <w:rsid w:val="002224DB"/>
    <w:rsid w:val="0022276C"/>
    <w:rsid w:val="0022359F"/>
    <w:rsid w:val="002260D4"/>
    <w:rsid w:val="00226891"/>
    <w:rsid w:val="00231CDE"/>
    <w:rsid w:val="00231D41"/>
    <w:rsid w:val="00231FE7"/>
    <w:rsid w:val="00237E7C"/>
    <w:rsid w:val="002403DA"/>
    <w:rsid w:val="00240446"/>
    <w:rsid w:val="00241B60"/>
    <w:rsid w:val="00242044"/>
    <w:rsid w:val="002423DB"/>
    <w:rsid w:val="0024283A"/>
    <w:rsid w:val="002428B6"/>
    <w:rsid w:val="00244AA0"/>
    <w:rsid w:val="00246DE3"/>
    <w:rsid w:val="00250AF3"/>
    <w:rsid w:val="002519D3"/>
    <w:rsid w:val="00251EA9"/>
    <w:rsid w:val="00252497"/>
    <w:rsid w:val="00252609"/>
    <w:rsid w:val="00252C90"/>
    <w:rsid w:val="00253440"/>
    <w:rsid w:val="0025465B"/>
    <w:rsid w:val="00254E60"/>
    <w:rsid w:val="00254F03"/>
    <w:rsid w:val="002611AB"/>
    <w:rsid w:val="00262612"/>
    <w:rsid w:val="00263C37"/>
    <w:rsid w:val="00263D5C"/>
    <w:rsid w:val="0026404B"/>
    <w:rsid w:val="002644DC"/>
    <w:rsid w:val="0026477C"/>
    <w:rsid w:val="00265C0E"/>
    <w:rsid w:val="00265D55"/>
    <w:rsid w:val="00270ABD"/>
    <w:rsid w:val="00271912"/>
    <w:rsid w:val="00272B41"/>
    <w:rsid w:val="002734EC"/>
    <w:rsid w:val="002741BD"/>
    <w:rsid w:val="0027531C"/>
    <w:rsid w:val="0027655D"/>
    <w:rsid w:val="002778A7"/>
    <w:rsid w:val="00277D53"/>
    <w:rsid w:val="00280D36"/>
    <w:rsid w:val="00281BDC"/>
    <w:rsid w:val="00281BE3"/>
    <w:rsid w:val="002820DA"/>
    <w:rsid w:val="00282996"/>
    <w:rsid w:val="002844F3"/>
    <w:rsid w:val="00284F3C"/>
    <w:rsid w:val="00285286"/>
    <w:rsid w:val="0028712D"/>
    <w:rsid w:val="002873C0"/>
    <w:rsid w:val="00290415"/>
    <w:rsid w:val="0029167C"/>
    <w:rsid w:val="00291E38"/>
    <w:rsid w:val="00292AB6"/>
    <w:rsid w:val="00293486"/>
    <w:rsid w:val="002937D9"/>
    <w:rsid w:val="00296159"/>
    <w:rsid w:val="0029617F"/>
    <w:rsid w:val="0029627A"/>
    <w:rsid w:val="002A4BCF"/>
    <w:rsid w:val="002A5A30"/>
    <w:rsid w:val="002A6F94"/>
    <w:rsid w:val="002B481F"/>
    <w:rsid w:val="002B484C"/>
    <w:rsid w:val="002B762E"/>
    <w:rsid w:val="002B76B1"/>
    <w:rsid w:val="002B781B"/>
    <w:rsid w:val="002C0514"/>
    <w:rsid w:val="002C097F"/>
    <w:rsid w:val="002C0DDD"/>
    <w:rsid w:val="002C1592"/>
    <w:rsid w:val="002C1BC8"/>
    <w:rsid w:val="002C1E2B"/>
    <w:rsid w:val="002C326B"/>
    <w:rsid w:val="002C389B"/>
    <w:rsid w:val="002C3E05"/>
    <w:rsid w:val="002C59FD"/>
    <w:rsid w:val="002C5AA7"/>
    <w:rsid w:val="002D2EBE"/>
    <w:rsid w:val="002D5660"/>
    <w:rsid w:val="002E0324"/>
    <w:rsid w:val="002E099D"/>
    <w:rsid w:val="002E1622"/>
    <w:rsid w:val="002E28BE"/>
    <w:rsid w:val="002E2B7B"/>
    <w:rsid w:val="002E3361"/>
    <w:rsid w:val="002E336B"/>
    <w:rsid w:val="002E3636"/>
    <w:rsid w:val="002E48E1"/>
    <w:rsid w:val="002E6387"/>
    <w:rsid w:val="002E77C6"/>
    <w:rsid w:val="002E7FF8"/>
    <w:rsid w:val="002F0801"/>
    <w:rsid w:val="002F1188"/>
    <w:rsid w:val="002F2BF4"/>
    <w:rsid w:val="002F34D7"/>
    <w:rsid w:val="002F6A4B"/>
    <w:rsid w:val="002F75DA"/>
    <w:rsid w:val="003005CE"/>
    <w:rsid w:val="0030143C"/>
    <w:rsid w:val="003015B2"/>
    <w:rsid w:val="00301752"/>
    <w:rsid w:val="00304BCD"/>
    <w:rsid w:val="0030539D"/>
    <w:rsid w:val="00306409"/>
    <w:rsid w:val="00310806"/>
    <w:rsid w:val="003124F4"/>
    <w:rsid w:val="003127A3"/>
    <w:rsid w:val="00317ECA"/>
    <w:rsid w:val="00321CB9"/>
    <w:rsid w:val="0032323A"/>
    <w:rsid w:val="0032361E"/>
    <w:rsid w:val="00323D30"/>
    <w:rsid w:val="00324959"/>
    <w:rsid w:val="003254E6"/>
    <w:rsid w:val="00326B66"/>
    <w:rsid w:val="003270AD"/>
    <w:rsid w:val="00327255"/>
    <w:rsid w:val="003302B8"/>
    <w:rsid w:val="00331CFD"/>
    <w:rsid w:val="00331E4F"/>
    <w:rsid w:val="003330D4"/>
    <w:rsid w:val="00334849"/>
    <w:rsid w:val="003349A2"/>
    <w:rsid w:val="00334C14"/>
    <w:rsid w:val="00335A57"/>
    <w:rsid w:val="003361F4"/>
    <w:rsid w:val="0033650D"/>
    <w:rsid w:val="0034069F"/>
    <w:rsid w:val="00343641"/>
    <w:rsid w:val="00343663"/>
    <w:rsid w:val="00344A89"/>
    <w:rsid w:val="00346849"/>
    <w:rsid w:val="0034790B"/>
    <w:rsid w:val="00347A10"/>
    <w:rsid w:val="0035131C"/>
    <w:rsid w:val="00351D91"/>
    <w:rsid w:val="00351DD9"/>
    <w:rsid w:val="003529F9"/>
    <w:rsid w:val="00352A22"/>
    <w:rsid w:val="00352B22"/>
    <w:rsid w:val="003534F6"/>
    <w:rsid w:val="00354A24"/>
    <w:rsid w:val="003559F3"/>
    <w:rsid w:val="00357045"/>
    <w:rsid w:val="003571C3"/>
    <w:rsid w:val="00361A1E"/>
    <w:rsid w:val="003624B9"/>
    <w:rsid w:val="00363470"/>
    <w:rsid w:val="003641C3"/>
    <w:rsid w:val="00365C45"/>
    <w:rsid w:val="00365DF7"/>
    <w:rsid w:val="003676BA"/>
    <w:rsid w:val="00370B4B"/>
    <w:rsid w:val="003715C7"/>
    <w:rsid w:val="003726A2"/>
    <w:rsid w:val="003738E6"/>
    <w:rsid w:val="00373C3A"/>
    <w:rsid w:val="003765C0"/>
    <w:rsid w:val="00381541"/>
    <w:rsid w:val="00382235"/>
    <w:rsid w:val="00382EED"/>
    <w:rsid w:val="003834CA"/>
    <w:rsid w:val="003856BF"/>
    <w:rsid w:val="00387730"/>
    <w:rsid w:val="00387832"/>
    <w:rsid w:val="00390152"/>
    <w:rsid w:val="00390B6B"/>
    <w:rsid w:val="00390EDE"/>
    <w:rsid w:val="0039225F"/>
    <w:rsid w:val="00392A5F"/>
    <w:rsid w:val="00392DA0"/>
    <w:rsid w:val="003969B1"/>
    <w:rsid w:val="00396A5E"/>
    <w:rsid w:val="00396D67"/>
    <w:rsid w:val="00396E61"/>
    <w:rsid w:val="00397469"/>
    <w:rsid w:val="003A13CE"/>
    <w:rsid w:val="003A22A2"/>
    <w:rsid w:val="003A365D"/>
    <w:rsid w:val="003A57CE"/>
    <w:rsid w:val="003A6C9E"/>
    <w:rsid w:val="003A6CA5"/>
    <w:rsid w:val="003B0C6E"/>
    <w:rsid w:val="003B0CFC"/>
    <w:rsid w:val="003B2B68"/>
    <w:rsid w:val="003B469F"/>
    <w:rsid w:val="003B46DD"/>
    <w:rsid w:val="003B5975"/>
    <w:rsid w:val="003B6B21"/>
    <w:rsid w:val="003C0509"/>
    <w:rsid w:val="003C1AAB"/>
    <w:rsid w:val="003C2EC8"/>
    <w:rsid w:val="003C33A4"/>
    <w:rsid w:val="003C3918"/>
    <w:rsid w:val="003C40A7"/>
    <w:rsid w:val="003C5A69"/>
    <w:rsid w:val="003C76BF"/>
    <w:rsid w:val="003C7D49"/>
    <w:rsid w:val="003D0519"/>
    <w:rsid w:val="003D092C"/>
    <w:rsid w:val="003D0BEC"/>
    <w:rsid w:val="003D176A"/>
    <w:rsid w:val="003D6683"/>
    <w:rsid w:val="003D6A56"/>
    <w:rsid w:val="003D6F33"/>
    <w:rsid w:val="003E061A"/>
    <w:rsid w:val="003E23E2"/>
    <w:rsid w:val="003E4F23"/>
    <w:rsid w:val="003E5565"/>
    <w:rsid w:val="003E6B7C"/>
    <w:rsid w:val="003F0A64"/>
    <w:rsid w:val="003F0E5E"/>
    <w:rsid w:val="003F1306"/>
    <w:rsid w:val="003F15B7"/>
    <w:rsid w:val="003F28F3"/>
    <w:rsid w:val="003F4524"/>
    <w:rsid w:val="003F457E"/>
    <w:rsid w:val="003F5179"/>
    <w:rsid w:val="003F520B"/>
    <w:rsid w:val="003F7171"/>
    <w:rsid w:val="003F7C9A"/>
    <w:rsid w:val="00400316"/>
    <w:rsid w:val="00400869"/>
    <w:rsid w:val="004009EF"/>
    <w:rsid w:val="00400F0A"/>
    <w:rsid w:val="004023F5"/>
    <w:rsid w:val="00405AF1"/>
    <w:rsid w:val="00406D51"/>
    <w:rsid w:val="004070FB"/>
    <w:rsid w:val="0040747F"/>
    <w:rsid w:val="00407486"/>
    <w:rsid w:val="00414BEF"/>
    <w:rsid w:val="00414CA0"/>
    <w:rsid w:val="00414E3C"/>
    <w:rsid w:val="00416BC7"/>
    <w:rsid w:val="004176B8"/>
    <w:rsid w:val="004204B7"/>
    <w:rsid w:val="00421B5A"/>
    <w:rsid w:val="0042210E"/>
    <w:rsid w:val="00424626"/>
    <w:rsid w:val="00426664"/>
    <w:rsid w:val="00426A00"/>
    <w:rsid w:val="00426C79"/>
    <w:rsid w:val="00426E07"/>
    <w:rsid w:val="004274F7"/>
    <w:rsid w:val="00431322"/>
    <w:rsid w:val="0043213B"/>
    <w:rsid w:val="00432AA9"/>
    <w:rsid w:val="00432BE1"/>
    <w:rsid w:val="00433AF8"/>
    <w:rsid w:val="00434300"/>
    <w:rsid w:val="00435893"/>
    <w:rsid w:val="00435C6B"/>
    <w:rsid w:val="0043622A"/>
    <w:rsid w:val="00436323"/>
    <w:rsid w:val="00437045"/>
    <w:rsid w:val="004374B9"/>
    <w:rsid w:val="00437631"/>
    <w:rsid w:val="00440489"/>
    <w:rsid w:val="00442CA9"/>
    <w:rsid w:val="0044342A"/>
    <w:rsid w:val="004445E0"/>
    <w:rsid w:val="004458BE"/>
    <w:rsid w:val="00445B0F"/>
    <w:rsid w:val="00446F4A"/>
    <w:rsid w:val="0044735E"/>
    <w:rsid w:val="0045198F"/>
    <w:rsid w:val="004521A3"/>
    <w:rsid w:val="00452943"/>
    <w:rsid w:val="004534DE"/>
    <w:rsid w:val="00453ABA"/>
    <w:rsid w:val="00454B81"/>
    <w:rsid w:val="00454D25"/>
    <w:rsid w:val="004560D6"/>
    <w:rsid w:val="00457D7F"/>
    <w:rsid w:val="0046160A"/>
    <w:rsid w:val="00462694"/>
    <w:rsid w:val="00463222"/>
    <w:rsid w:val="00463480"/>
    <w:rsid w:val="004641C9"/>
    <w:rsid w:val="0046475B"/>
    <w:rsid w:val="00464D0E"/>
    <w:rsid w:val="00465EF5"/>
    <w:rsid w:val="0046701B"/>
    <w:rsid w:val="00470AB0"/>
    <w:rsid w:val="004723D9"/>
    <w:rsid w:val="004734C8"/>
    <w:rsid w:val="004737BF"/>
    <w:rsid w:val="00473D37"/>
    <w:rsid w:val="00474AF8"/>
    <w:rsid w:val="004752C6"/>
    <w:rsid w:val="00475FB7"/>
    <w:rsid w:val="004764A4"/>
    <w:rsid w:val="004775C4"/>
    <w:rsid w:val="0047780E"/>
    <w:rsid w:val="0048038B"/>
    <w:rsid w:val="00480746"/>
    <w:rsid w:val="0048168D"/>
    <w:rsid w:val="004819D0"/>
    <w:rsid w:val="004820A3"/>
    <w:rsid w:val="00482B52"/>
    <w:rsid w:val="0048326F"/>
    <w:rsid w:val="004838AF"/>
    <w:rsid w:val="004866C4"/>
    <w:rsid w:val="00487E7A"/>
    <w:rsid w:val="004901EF"/>
    <w:rsid w:val="00491530"/>
    <w:rsid w:val="0049230B"/>
    <w:rsid w:val="00492B21"/>
    <w:rsid w:val="00493593"/>
    <w:rsid w:val="00493BD8"/>
    <w:rsid w:val="004948A4"/>
    <w:rsid w:val="0049507A"/>
    <w:rsid w:val="00495B53"/>
    <w:rsid w:val="00496F51"/>
    <w:rsid w:val="004A00E9"/>
    <w:rsid w:val="004A0BC5"/>
    <w:rsid w:val="004A2261"/>
    <w:rsid w:val="004A36CD"/>
    <w:rsid w:val="004A4B47"/>
    <w:rsid w:val="004A5D46"/>
    <w:rsid w:val="004A6E4A"/>
    <w:rsid w:val="004A7351"/>
    <w:rsid w:val="004B0628"/>
    <w:rsid w:val="004B090F"/>
    <w:rsid w:val="004B2435"/>
    <w:rsid w:val="004B2D3E"/>
    <w:rsid w:val="004B346B"/>
    <w:rsid w:val="004B3C94"/>
    <w:rsid w:val="004B3EC8"/>
    <w:rsid w:val="004B47AD"/>
    <w:rsid w:val="004B571C"/>
    <w:rsid w:val="004B703A"/>
    <w:rsid w:val="004B7697"/>
    <w:rsid w:val="004B7ECD"/>
    <w:rsid w:val="004C0799"/>
    <w:rsid w:val="004C2204"/>
    <w:rsid w:val="004C3A15"/>
    <w:rsid w:val="004C46FE"/>
    <w:rsid w:val="004C5FE6"/>
    <w:rsid w:val="004C6A4E"/>
    <w:rsid w:val="004C6B5C"/>
    <w:rsid w:val="004C6D13"/>
    <w:rsid w:val="004C7D05"/>
    <w:rsid w:val="004C7E6A"/>
    <w:rsid w:val="004D032B"/>
    <w:rsid w:val="004D0D72"/>
    <w:rsid w:val="004D13B1"/>
    <w:rsid w:val="004D1872"/>
    <w:rsid w:val="004D4E38"/>
    <w:rsid w:val="004E272D"/>
    <w:rsid w:val="004E4306"/>
    <w:rsid w:val="004E4E33"/>
    <w:rsid w:val="004E5012"/>
    <w:rsid w:val="004E5F92"/>
    <w:rsid w:val="004E714A"/>
    <w:rsid w:val="004E7465"/>
    <w:rsid w:val="004F114D"/>
    <w:rsid w:val="004F38E7"/>
    <w:rsid w:val="004F392C"/>
    <w:rsid w:val="004F46A8"/>
    <w:rsid w:val="004F5501"/>
    <w:rsid w:val="004F6255"/>
    <w:rsid w:val="0050068E"/>
    <w:rsid w:val="00500BF1"/>
    <w:rsid w:val="0050145B"/>
    <w:rsid w:val="005020EA"/>
    <w:rsid w:val="00502B59"/>
    <w:rsid w:val="00503376"/>
    <w:rsid w:val="00503DA3"/>
    <w:rsid w:val="00503E1A"/>
    <w:rsid w:val="005041BE"/>
    <w:rsid w:val="0050469B"/>
    <w:rsid w:val="00505322"/>
    <w:rsid w:val="0051021B"/>
    <w:rsid w:val="005102B9"/>
    <w:rsid w:val="00510E97"/>
    <w:rsid w:val="00511375"/>
    <w:rsid w:val="00511453"/>
    <w:rsid w:val="005118B7"/>
    <w:rsid w:val="00511CD1"/>
    <w:rsid w:val="00511FC8"/>
    <w:rsid w:val="00513505"/>
    <w:rsid w:val="005146EE"/>
    <w:rsid w:val="00515577"/>
    <w:rsid w:val="0051643B"/>
    <w:rsid w:val="00517144"/>
    <w:rsid w:val="00520D51"/>
    <w:rsid w:val="005215A9"/>
    <w:rsid w:val="005218DC"/>
    <w:rsid w:val="00523221"/>
    <w:rsid w:val="00523C7B"/>
    <w:rsid w:val="00524F71"/>
    <w:rsid w:val="00526430"/>
    <w:rsid w:val="005276EC"/>
    <w:rsid w:val="005307B7"/>
    <w:rsid w:val="005308DD"/>
    <w:rsid w:val="00530A2E"/>
    <w:rsid w:val="00532C39"/>
    <w:rsid w:val="00533779"/>
    <w:rsid w:val="00533BDE"/>
    <w:rsid w:val="00534370"/>
    <w:rsid w:val="00535AF0"/>
    <w:rsid w:val="005362E2"/>
    <w:rsid w:val="00536689"/>
    <w:rsid w:val="00537D7D"/>
    <w:rsid w:val="00541D09"/>
    <w:rsid w:val="00542A05"/>
    <w:rsid w:val="0054320D"/>
    <w:rsid w:val="00547873"/>
    <w:rsid w:val="00551E11"/>
    <w:rsid w:val="00554444"/>
    <w:rsid w:val="00554471"/>
    <w:rsid w:val="00554F53"/>
    <w:rsid w:val="0055612D"/>
    <w:rsid w:val="005567FA"/>
    <w:rsid w:val="005635DC"/>
    <w:rsid w:val="005640CB"/>
    <w:rsid w:val="00564C44"/>
    <w:rsid w:val="005650FC"/>
    <w:rsid w:val="00566238"/>
    <w:rsid w:val="0056673E"/>
    <w:rsid w:val="00567004"/>
    <w:rsid w:val="005700E3"/>
    <w:rsid w:val="0057455B"/>
    <w:rsid w:val="0057625F"/>
    <w:rsid w:val="005766FB"/>
    <w:rsid w:val="00576753"/>
    <w:rsid w:val="00580070"/>
    <w:rsid w:val="00580D7D"/>
    <w:rsid w:val="00581F5F"/>
    <w:rsid w:val="00582EDE"/>
    <w:rsid w:val="005837F1"/>
    <w:rsid w:val="00585121"/>
    <w:rsid w:val="005858CC"/>
    <w:rsid w:val="00585DDE"/>
    <w:rsid w:val="005877E5"/>
    <w:rsid w:val="00587D17"/>
    <w:rsid w:val="00587DFC"/>
    <w:rsid w:val="005917F9"/>
    <w:rsid w:val="00591EB5"/>
    <w:rsid w:val="00592BE9"/>
    <w:rsid w:val="00593757"/>
    <w:rsid w:val="0059387C"/>
    <w:rsid w:val="005939AB"/>
    <w:rsid w:val="0059438E"/>
    <w:rsid w:val="00594688"/>
    <w:rsid w:val="00594EFE"/>
    <w:rsid w:val="005A1D1C"/>
    <w:rsid w:val="005A40FB"/>
    <w:rsid w:val="005A43C8"/>
    <w:rsid w:val="005A4770"/>
    <w:rsid w:val="005A4B07"/>
    <w:rsid w:val="005A55E9"/>
    <w:rsid w:val="005A5B06"/>
    <w:rsid w:val="005A6226"/>
    <w:rsid w:val="005A6F1E"/>
    <w:rsid w:val="005A707B"/>
    <w:rsid w:val="005A76C8"/>
    <w:rsid w:val="005B02EE"/>
    <w:rsid w:val="005B05DA"/>
    <w:rsid w:val="005B0660"/>
    <w:rsid w:val="005B0D39"/>
    <w:rsid w:val="005B16AF"/>
    <w:rsid w:val="005B2C82"/>
    <w:rsid w:val="005B4109"/>
    <w:rsid w:val="005B4AA2"/>
    <w:rsid w:val="005B4DFC"/>
    <w:rsid w:val="005B4FAB"/>
    <w:rsid w:val="005B6F2F"/>
    <w:rsid w:val="005B73D0"/>
    <w:rsid w:val="005B7966"/>
    <w:rsid w:val="005B7C45"/>
    <w:rsid w:val="005C0000"/>
    <w:rsid w:val="005C12B9"/>
    <w:rsid w:val="005C15BE"/>
    <w:rsid w:val="005C4796"/>
    <w:rsid w:val="005C4819"/>
    <w:rsid w:val="005C4E96"/>
    <w:rsid w:val="005C7D73"/>
    <w:rsid w:val="005D01D9"/>
    <w:rsid w:val="005D267A"/>
    <w:rsid w:val="005D2F71"/>
    <w:rsid w:val="005D37BD"/>
    <w:rsid w:val="005D49D6"/>
    <w:rsid w:val="005D4D7C"/>
    <w:rsid w:val="005D7D31"/>
    <w:rsid w:val="005E0827"/>
    <w:rsid w:val="005E2486"/>
    <w:rsid w:val="005E4799"/>
    <w:rsid w:val="005E4875"/>
    <w:rsid w:val="005E4EAC"/>
    <w:rsid w:val="005E5343"/>
    <w:rsid w:val="005E5448"/>
    <w:rsid w:val="005E5C81"/>
    <w:rsid w:val="005F14A6"/>
    <w:rsid w:val="005F3E24"/>
    <w:rsid w:val="005F45EA"/>
    <w:rsid w:val="005F51C1"/>
    <w:rsid w:val="005F5F2A"/>
    <w:rsid w:val="005F6E7F"/>
    <w:rsid w:val="005F755E"/>
    <w:rsid w:val="00600BAE"/>
    <w:rsid w:val="00600EA1"/>
    <w:rsid w:val="00601E6E"/>
    <w:rsid w:val="006025D5"/>
    <w:rsid w:val="00605DB6"/>
    <w:rsid w:val="00606EB2"/>
    <w:rsid w:val="00607A28"/>
    <w:rsid w:val="00612338"/>
    <w:rsid w:val="00612A11"/>
    <w:rsid w:val="0061311C"/>
    <w:rsid w:val="00615B4E"/>
    <w:rsid w:val="00615FC6"/>
    <w:rsid w:val="0061663D"/>
    <w:rsid w:val="0061710D"/>
    <w:rsid w:val="0061728D"/>
    <w:rsid w:val="00617C14"/>
    <w:rsid w:val="00620B2C"/>
    <w:rsid w:val="00624336"/>
    <w:rsid w:val="00624912"/>
    <w:rsid w:val="006310C0"/>
    <w:rsid w:val="0063281D"/>
    <w:rsid w:val="00632CE8"/>
    <w:rsid w:val="006338C8"/>
    <w:rsid w:val="00633E0D"/>
    <w:rsid w:val="006343B5"/>
    <w:rsid w:val="00634D0E"/>
    <w:rsid w:val="0063711E"/>
    <w:rsid w:val="00637429"/>
    <w:rsid w:val="00640D4E"/>
    <w:rsid w:val="006410F4"/>
    <w:rsid w:val="00642B47"/>
    <w:rsid w:val="006434F0"/>
    <w:rsid w:val="00643AB8"/>
    <w:rsid w:val="00644936"/>
    <w:rsid w:val="00647178"/>
    <w:rsid w:val="00647C83"/>
    <w:rsid w:val="00650BB5"/>
    <w:rsid w:val="00651F71"/>
    <w:rsid w:val="006525B5"/>
    <w:rsid w:val="0065270D"/>
    <w:rsid w:val="0065401A"/>
    <w:rsid w:val="00655242"/>
    <w:rsid w:val="00655B3C"/>
    <w:rsid w:val="00657153"/>
    <w:rsid w:val="00657E76"/>
    <w:rsid w:val="0066078F"/>
    <w:rsid w:val="00660B7D"/>
    <w:rsid w:val="00660D78"/>
    <w:rsid w:val="006628F1"/>
    <w:rsid w:val="0066400B"/>
    <w:rsid w:val="00664027"/>
    <w:rsid w:val="006640A6"/>
    <w:rsid w:val="0066455A"/>
    <w:rsid w:val="00664E58"/>
    <w:rsid w:val="00665178"/>
    <w:rsid w:val="00667540"/>
    <w:rsid w:val="00667944"/>
    <w:rsid w:val="0067041E"/>
    <w:rsid w:val="006708E5"/>
    <w:rsid w:val="00670A75"/>
    <w:rsid w:val="006714C0"/>
    <w:rsid w:val="0067409F"/>
    <w:rsid w:val="00674C52"/>
    <w:rsid w:val="00674D11"/>
    <w:rsid w:val="006762D5"/>
    <w:rsid w:val="0067746A"/>
    <w:rsid w:val="00677FFA"/>
    <w:rsid w:val="00680EB3"/>
    <w:rsid w:val="00681960"/>
    <w:rsid w:val="00681C39"/>
    <w:rsid w:val="0068290E"/>
    <w:rsid w:val="00683138"/>
    <w:rsid w:val="0068494A"/>
    <w:rsid w:val="00685466"/>
    <w:rsid w:val="00691149"/>
    <w:rsid w:val="006914F3"/>
    <w:rsid w:val="00691FD7"/>
    <w:rsid w:val="00692F88"/>
    <w:rsid w:val="00693443"/>
    <w:rsid w:val="00693675"/>
    <w:rsid w:val="006960ED"/>
    <w:rsid w:val="00696ADA"/>
    <w:rsid w:val="0069751D"/>
    <w:rsid w:val="006A033E"/>
    <w:rsid w:val="006A347B"/>
    <w:rsid w:val="006A547B"/>
    <w:rsid w:val="006A6DAF"/>
    <w:rsid w:val="006B236B"/>
    <w:rsid w:val="006B2794"/>
    <w:rsid w:val="006B42EE"/>
    <w:rsid w:val="006B4E89"/>
    <w:rsid w:val="006B5DE7"/>
    <w:rsid w:val="006B71F5"/>
    <w:rsid w:val="006C37B0"/>
    <w:rsid w:val="006C3C7E"/>
    <w:rsid w:val="006C4904"/>
    <w:rsid w:val="006C4A5D"/>
    <w:rsid w:val="006C4D70"/>
    <w:rsid w:val="006C554E"/>
    <w:rsid w:val="006C66AD"/>
    <w:rsid w:val="006D0E16"/>
    <w:rsid w:val="006D14FA"/>
    <w:rsid w:val="006D1F9A"/>
    <w:rsid w:val="006D2174"/>
    <w:rsid w:val="006D21A6"/>
    <w:rsid w:val="006D21D8"/>
    <w:rsid w:val="006D3C1F"/>
    <w:rsid w:val="006D4334"/>
    <w:rsid w:val="006D4CFD"/>
    <w:rsid w:val="006D4D57"/>
    <w:rsid w:val="006D4D7B"/>
    <w:rsid w:val="006D5C8E"/>
    <w:rsid w:val="006D7617"/>
    <w:rsid w:val="006E2C6F"/>
    <w:rsid w:val="006E34E1"/>
    <w:rsid w:val="006E3A63"/>
    <w:rsid w:val="006E4881"/>
    <w:rsid w:val="006E4EDF"/>
    <w:rsid w:val="006E524A"/>
    <w:rsid w:val="006E6332"/>
    <w:rsid w:val="006E6520"/>
    <w:rsid w:val="006E7767"/>
    <w:rsid w:val="006F0475"/>
    <w:rsid w:val="006F04C3"/>
    <w:rsid w:val="006F0E6B"/>
    <w:rsid w:val="006F16E8"/>
    <w:rsid w:val="006F2489"/>
    <w:rsid w:val="006F28E4"/>
    <w:rsid w:val="006F2997"/>
    <w:rsid w:val="006F430F"/>
    <w:rsid w:val="006F5981"/>
    <w:rsid w:val="006F59B9"/>
    <w:rsid w:val="006F6BC2"/>
    <w:rsid w:val="0070032F"/>
    <w:rsid w:val="00701717"/>
    <w:rsid w:val="00702AD5"/>
    <w:rsid w:val="00704ABD"/>
    <w:rsid w:val="00704C57"/>
    <w:rsid w:val="007070E1"/>
    <w:rsid w:val="00712156"/>
    <w:rsid w:val="007121D7"/>
    <w:rsid w:val="0071283C"/>
    <w:rsid w:val="00714A08"/>
    <w:rsid w:val="00715644"/>
    <w:rsid w:val="0071733C"/>
    <w:rsid w:val="00717BC4"/>
    <w:rsid w:val="007206C6"/>
    <w:rsid w:val="00723735"/>
    <w:rsid w:val="00725515"/>
    <w:rsid w:val="007257EF"/>
    <w:rsid w:val="00726167"/>
    <w:rsid w:val="0073093A"/>
    <w:rsid w:val="00733202"/>
    <w:rsid w:val="00733BCB"/>
    <w:rsid w:val="007352D6"/>
    <w:rsid w:val="007353B4"/>
    <w:rsid w:val="00736379"/>
    <w:rsid w:val="00736F47"/>
    <w:rsid w:val="00737100"/>
    <w:rsid w:val="0073713F"/>
    <w:rsid w:val="007409FD"/>
    <w:rsid w:val="00740EC4"/>
    <w:rsid w:val="00741082"/>
    <w:rsid w:val="007419AF"/>
    <w:rsid w:val="007425E9"/>
    <w:rsid w:val="007428CD"/>
    <w:rsid w:val="00742E45"/>
    <w:rsid w:val="00743002"/>
    <w:rsid w:val="007433F5"/>
    <w:rsid w:val="00744D0E"/>
    <w:rsid w:val="007456C0"/>
    <w:rsid w:val="00747C3C"/>
    <w:rsid w:val="007508CB"/>
    <w:rsid w:val="00751291"/>
    <w:rsid w:val="007535E6"/>
    <w:rsid w:val="00753902"/>
    <w:rsid w:val="00754592"/>
    <w:rsid w:val="00757435"/>
    <w:rsid w:val="00757D8C"/>
    <w:rsid w:val="00762A7C"/>
    <w:rsid w:val="00765515"/>
    <w:rsid w:val="00765F46"/>
    <w:rsid w:val="007666D8"/>
    <w:rsid w:val="00766B64"/>
    <w:rsid w:val="0076722C"/>
    <w:rsid w:val="00773F16"/>
    <w:rsid w:val="007740ED"/>
    <w:rsid w:val="00774BD4"/>
    <w:rsid w:val="00775016"/>
    <w:rsid w:val="007758CD"/>
    <w:rsid w:val="00775B9D"/>
    <w:rsid w:val="0077601B"/>
    <w:rsid w:val="00776172"/>
    <w:rsid w:val="007762C3"/>
    <w:rsid w:val="007775CF"/>
    <w:rsid w:val="007778C8"/>
    <w:rsid w:val="00777D7D"/>
    <w:rsid w:val="007820EE"/>
    <w:rsid w:val="00783920"/>
    <w:rsid w:val="0078578E"/>
    <w:rsid w:val="0078595B"/>
    <w:rsid w:val="00787747"/>
    <w:rsid w:val="00792941"/>
    <w:rsid w:val="00792BA7"/>
    <w:rsid w:val="00793042"/>
    <w:rsid w:val="007942B8"/>
    <w:rsid w:val="00794F2E"/>
    <w:rsid w:val="00795A31"/>
    <w:rsid w:val="007960E3"/>
    <w:rsid w:val="0079630C"/>
    <w:rsid w:val="00797796"/>
    <w:rsid w:val="00797AC1"/>
    <w:rsid w:val="007A0559"/>
    <w:rsid w:val="007A0AA5"/>
    <w:rsid w:val="007A1816"/>
    <w:rsid w:val="007A1E97"/>
    <w:rsid w:val="007A2E75"/>
    <w:rsid w:val="007A375E"/>
    <w:rsid w:val="007A4571"/>
    <w:rsid w:val="007A4D72"/>
    <w:rsid w:val="007A6616"/>
    <w:rsid w:val="007A69CC"/>
    <w:rsid w:val="007A7136"/>
    <w:rsid w:val="007B03B8"/>
    <w:rsid w:val="007B100E"/>
    <w:rsid w:val="007B1734"/>
    <w:rsid w:val="007B1AC1"/>
    <w:rsid w:val="007B3D08"/>
    <w:rsid w:val="007B5D1D"/>
    <w:rsid w:val="007B619F"/>
    <w:rsid w:val="007B6B63"/>
    <w:rsid w:val="007B70D7"/>
    <w:rsid w:val="007B7965"/>
    <w:rsid w:val="007C0156"/>
    <w:rsid w:val="007C0254"/>
    <w:rsid w:val="007C0C37"/>
    <w:rsid w:val="007C12BF"/>
    <w:rsid w:val="007C3629"/>
    <w:rsid w:val="007C5557"/>
    <w:rsid w:val="007C5E81"/>
    <w:rsid w:val="007C640B"/>
    <w:rsid w:val="007C6F6E"/>
    <w:rsid w:val="007C72C9"/>
    <w:rsid w:val="007C76F4"/>
    <w:rsid w:val="007D037E"/>
    <w:rsid w:val="007D17A5"/>
    <w:rsid w:val="007D3613"/>
    <w:rsid w:val="007D3E00"/>
    <w:rsid w:val="007D3E8C"/>
    <w:rsid w:val="007D4E3B"/>
    <w:rsid w:val="007E1954"/>
    <w:rsid w:val="007E36E0"/>
    <w:rsid w:val="007E533E"/>
    <w:rsid w:val="007E6ED0"/>
    <w:rsid w:val="007E788E"/>
    <w:rsid w:val="007F11C0"/>
    <w:rsid w:val="007F3A3B"/>
    <w:rsid w:val="007F41CA"/>
    <w:rsid w:val="007F4DAB"/>
    <w:rsid w:val="007F52E3"/>
    <w:rsid w:val="007F6B2F"/>
    <w:rsid w:val="007F7194"/>
    <w:rsid w:val="007F777D"/>
    <w:rsid w:val="007F7F10"/>
    <w:rsid w:val="008000A2"/>
    <w:rsid w:val="0080278C"/>
    <w:rsid w:val="00802B8F"/>
    <w:rsid w:val="00802D3E"/>
    <w:rsid w:val="00803121"/>
    <w:rsid w:val="00803C78"/>
    <w:rsid w:val="0080470A"/>
    <w:rsid w:val="00805210"/>
    <w:rsid w:val="00805A69"/>
    <w:rsid w:val="0080653B"/>
    <w:rsid w:val="0080671C"/>
    <w:rsid w:val="00806EA3"/>
    <w:rsid w:val="00810217"/>
    <w:rsid w:val="0081143F"/>
    <w:rsid w:val="008120E5"/>
    <w:rsid w:val="0081289A"/>
    <w:rsid w:val="00815992"/>
    <w:rsid w:val="00816236"/>
    <w:rsid w:val="00820317"/>
    <w:rsid w:val="00821FAA"/>
    <w:rsid w:val="0082259F"/>
    <w:rsid w:val="00822776"/>
    <w:rsid w:val="008227BC"/>
    <w:rsid w:val="0082308E"/>
    <w:rsid w:val="0082510B"/>
    <w:rsid w:val="008256C6"/>
    <w:rsid w:val="00825AB1"/>
    <w:rsid w:val="00825D9A"/>
    <w:rsid w:val="00827430"/>
    <w:rsid w:val="00831E52"/>
    <w:rsid w:val="00832FE5"/>
    <w:rsid w:val="00835E39"/>
    <w:rsid w:val="008364DA"/>
    <w:rsid w:val="008368A2"/>
    <w:rsid w:val="00837E97"/>
    <w:rsid w:val="00840AD4"/>
    <w:rsid w:val="00841463"/>
    <w:rsid w:val="00842EDD"/>
    <w:rsid w:val="0084322C"/>
    <w:rsid w:val="00846850"/>
    <w:rsid w:val="00846CEA"/>
    <w:rsid w:val="00847256"/>
    <w:rsid w:val="0084751E"/>
    <w:rsid w:val="00847665"/>
    <w:rsid w:val="00847FA7"/>
    <w:rsid w:val="00850C04"/>
    <w:rsid w:val="00852132"/>
    <w:rsid w:val="0085253D"/>
    <w:rsid w:val="00852E08"/>
    <w:rsid w:val="008537EB"/>
    <w:rsid w:val="00853FC0"/>
    <w:rsid w:val="00855563"/>
    <w:rsid w:val="00861D6D"/>
    <w:rsid w:val="008625C1"/>
    <w:rsid w:val="0086339B"/>
    <w:rsid w:val="0086540F"/>
    <w:rsid w:val="00866187"/>
    <w:rsid w:val="008666E4"/>
    <w:rsid w:val="00867CA9"/>
    <w:rsid w:val="00874563"/>
    <w:rsid w:val="008758A3"/>
    <w:rsid w:val="0087687F"/>
    <w:rsid w:val="00876E99"/>
    <w:rsid w:val="008776BD"/>
    <w:rsid w:val="0087796D"/>
    <w:rsid w:val="008779DD"/>
    <w:rsid w:val="0088065D"/>
    <w:rsid w:val="00883881"/>
    <w:rsid w:val="00884796"/>
    <w:rsid w:val="00885340"/>
    <w:rsid w:val="00886376"/>
    <w:rsid w:val="008904F6"/>
    <w:rsid w:val="00890648"/>
    <w:rsid w:val="00891173"/>
    <w:rsid w:val="0089131C"/>
    <w:rsid w:val="008916D4"/>
    <w:rsid w:val="00891A28"/>
    <w:rsid w:val="00892772"/>
    <w:rsid w:val="00892F75"/>
    <w:rsid w:val="0089328A"/>
    <w:rsid w:val="00894586"/>
    <w:rsid w:val="008948D3"/>
    <w:rsid w:val="008955E0"/>
    <w:rsid w:val="008966F9"/>
    <w:rsid w:val="00897240"/>
    <w:rsid w:val="0089783A"/>
    <w:rsid w:val="00897C23"/>
    <w:rsid w:val="00897E9A"/>
    <w:rsid w:val="008A09BB"/>
    <w:rsid w:val="008A1BDE"/>
    <w:rsid w:val="008A2289"/>
    <w:rsid w:val="008A3D90"/>
    <w:rsid w:val="008A3F19"/>
    <w:rsid w:val="008A45D4"/>
    <w:rsid w:val="008A4B34"/>
    <w:rsid w:val="008A57E1"/>
    <w:rsid w:val="008A60EA"/>
    <w:rsid w:val="008A704C"/>
    <w:rsid w:val="008B1325"/>
    <w:rsid w:val="008B26CB"/>
    <w:rsid w:val="008B3D31"/>
    <w:rsid w:val="008B3D95"/>
    <w:rsid w:val="008B3F2E"/>
    <w:rsid w:val="008B4304"/>
    <w:rsid w:val="008B50B4"/>
    <w:rsid w:val="008B6696"/>
    <w:rsid w:val="008C03D4"/>
    <w:rsid w:val="008C0DDD"/>
    <w:rsid w:val="008C1026"/>
    <w:rsid w:val="008C12A9"/>
    <w:rsid w:val="008C1EF0"/>
    <w:rsid w:val="008C1F5F"/>
    <w:rsid w:val="008C22FF"/>
    <w:rsid w:val="008C24FE"/>
    <w:rsid w:val="008C2D6B"/>
    <w:rsid w:val="008C336C"/>
    <w:rsid w:val="008C5F97"/>
    <w:rsid w:val="008C7198"/>
    <w:rsid w:val="008D029E"/>
    <w:rsid w:val="008D0466"/>
    <w:rsid w:val="008D0AC0"/>
    <w:rsid w:val="008D2053"/>
    <w:rsid w:val="008D24EA"/>
    <w:rsid w:val="008D35CF"/>
    <w:rsid w:val="008D5808"/>
    <w:rsid w:val="008D7D8E"/>
    <w:rsid w:val="008E0257"/>
    <w:rsid w:val="008E0E65"/>
    <w:rsid w:val="008E1D23"/>
    <w:rsid w:val="008E3240"/>
    <w:rsid w:val="008E3886"/>
    <w:rsid w:val="008E44B8"/>
    <w:rsid w:val="008E4FA0"/>
    <w:rsid w:val="008E63B2"/>
    <w:rsid w:val="008E64E3"/>
    <w:rsid w:val="008F1AD2"/>
    <w:rsid w:val="008F1DFE"/>
    <w:rsid w:val="008F2A3D"/>
    <w:rsid w:val="008F2B45"/>
    <w:rsid w:val="008F449B"/>
    <w:rsid w:val="008F44A9"/>
    <w:rsid w:val="00900033"/>
    <w:rsid w:val="009000C4"/>
    <w:rsid w:val="009037B0"/>
    <w:rsid w:val="00903897"/>
    <w:rsid w:val="00903FFE"/>
    <w:rsid w:val="00904714"/>
    <w:rsid w:val="009049B5"/>
    <w:rsid w:val="00904B68"/>
    <w:rsid w:val="00906161"/>
    <w:rsid w:val="009113CA"/>
    <w:rsid w:val="009119AA"/>
    <w:rsid w:val="009139E5"/>
    <w:rsid w:val="00914AF5"/>
    <w:rsid w:val="00914F19"/>
    <w:rsid w:val="009157D1"/>
    <w:rsid w:val="00915DA0"/>
    <w:rsid w:val="00916960"/>
    <w:rsid w:val="009178FE"/>
    <w:rsid w:val="00917B4B"/>
    <w:rsid w:val="00917CCD"/>
    <w:rsid w:val="00917D07"/>
    <w:rsid w:val="009214E7"/>
    <w:rsid w:val="009217EF"/>
    <w:rsid w:val="00921A97"/>
    <w:rsid w:val="009221F0"/>
    <w:rsid w:val="0092328D"/>
    <w:rsid w:val="009232CD"/>
    <w:rsid w:val="009240AD"/>
    <w:rsid w:val="0092421E"/>
    <w:rsid w:val="009243C3"/>
    <w:rsid w:val="00925431"/>
    <w:rsid w:val="009254AA"/>
    <w:rsid w:val="0092670D"/>
    <w:rsid w:val="00926B3C"/>
    <w:rsid w:val="00930067"/>
    <w:rsid w:val="00930793"/>
    <w:rsid w:val="00930AA0"/>
    <w:rsid w:val="00932236"/>
    <w:rsid w:val="00937167"/>
    <w:rsid w:val="00937447"/>
    <w:rsid w:val="009374BC"/>
    <w:rsid w:val="00944A43"/>
    <w:rsid w:val="009452CA"/>
    <w:rsid w:val="00947329"/>
    <w:rsid w:val="0095269B"/>
    <w:rsid w:val="009537E8"/>
    <w:rsid w:val="00953FFB"/>
    <w:rsid w:val="009570FE"/>
    <w:rsid w:val="0096288C"/>
    <w:rsid w:val="009628A2"/>
    <w:rsid w:val="00963E6F"/>
    <w:rsid w:val="00965FB2"/>
    <w:rsid w:val="00966521"/>
    <w:rsid w:val="009673D7"/>
    <w:rsid w:val="00973276"/>
    <w:rsid w:val="00974E28"/>
    <w:rsid w:val="009755B8"/>
    <w:rsid w:val="0097797B"/>
    <w:rsid w:val="00983A15"/>
    <w:rsid w:val="009848ED"/>
    <w:rsid w:val="0098491F"/>
    <w:rsid w:val="00984A12"/>
    <w:rsid w:val="00985057"/>
    <w:rsid w:val="00985AF4"/>
    <w:rsid w:val="00985B74"/>
    <w:rsid w:val="00986B9B"/>
    <w:rsid w:val="00990F3F"/>
    <w:rsid w:val="00991F40"/>
    <w:rsid w:val="009922EB"/>
    <w:rsid w:val="00997CE3"/>
    <w:rsid w:val="00997DFA"/>
    <w:rsid w:val="009A08ED"/>
    <w:rsid w:val="009A3CB4"/>
    <w:rsid w:val="009A40EC"/>
    <w:rsid w:val="009A5082"/>
    <w:rsid w:val="009A55A2"/>
    <w:rsid w:val="009B0838"/>
    <w:rsid w:val="009B10C4"/>
    <w:rsid w:val="009B115E"/>
    <w:rsid w:val="009B1D6A"/>
    <w:rsid w:val="009B4E12"/>
    <w:rsid w:val="009B6637"/>
    <w:rsid w:val="009C0BC7"/>
    <w:rsid w:val="009C0F66"/>
    <w:rsid w:val="009C1E43"/>
    <w:rsid w:val="009C2A73"/>
    <w:rsid w:val="009C2C95"/>
    <w:rsid w:val="009C34C8"/>
    <w:rsid w:val="009C45D3"/>
    <w:rsid w:val="009C47C6"/>
    <w:rsid w:val="009C4A02"/>
    <w:rsid w:val="009C54C4"/>
    <w:rsid w:val="009C7CB7"/>
    <w:rsid w:val="009D1414"/>
    <w:rsid w:val="009D241A"/>
    <w:rsid w:val="009D24A3"/>
    <w:rsid w:val="009D36A6"/>
    <w:rsid w:val="009D49AA"/>
    <w:rsid w:val="009D6D56"/>
    <w:rsid w:val="009E039E"/>
    <w:rsid w:val="009E109E"/>
    <w:rsid w:val="009E185B"/>
    <w:rsid w:val="009E221F"/>
    <w:rsid w:val="009E36FF"/>
    <w:rsid w:val="009E3711"/>
    <w:rsid w:val="009E4874"/>
    <w:rsid w:val="009E53D1"/>
    <w:rsid w:val="009E58FF"/>
    <w:rsid w:val="009E7AE1"/>
    <w:rsid w:val="009F0B7A"/>
    <w:rsid w:val="009F111E"/>
    <w:rsid w:val="009F13D3"/>
    <w:rsid w:val="009F25D4"/>
    <w:rsid w:val="009F2B07"/>
    <w:rsid w:val="009F2BCF"/>
    <w:rsid w:val="009F2E60"/>
    <w:rsid w:val="009F3D6C"/>
    <w:rsid w:val="009F5B88"/>
    <w:rsid w:val="009F6076"/>
    <w:rsid w:val="009F7D4E"/>
    <w:rsid w:val="00A00A25"/>
    <w:rsid w:val="00A00AFF"/>
    <w:rsid w:val="00A01007"/>
    <w:rsid w:val="00A010C0"/>
    <w:rsid w:val="00A02C30"/>
    <w:rsid w:val="00A05DB7"/>
    <w:rsid w:val="00A06535"/>
    <w:rsid w:val="00A101AB"/>
    <w:rsid w:val="00A140C4"/>
    <w:rsid w:val="00A141EA"/>
    <w:rsid w:val="00A16A10"/>
    <w:rsid w:val="00A175DF"/>
    <w:rsid w:val="00A218EA"/>
    <w:rsid w:val="00A23F91"/>
    <w:rsid w:val="00A24515"/>
    <w:rsid w:val="00A24FC0"/>
    <w:rsid w:val="00A25C1D"/>
    <w:rsid w:val="00A27921"/>
    <w:rsid w:val="00A27A72"/>
    <w:rsid w:val="00A27CA6"/>
    <w:rsid w:val="00A303CC"/>
    <w:rsid w:val="00A322EB"/>
    <w:rsid w:val="00A329D7"/>
    <w:rsid w:val="00A3349A"/>
    <w:rsid w:val="00A337AE"/>
    <w:rsid w:val="00A3400F"/>
    <w:rsid w:val="00A34053"/>
    <w:rsid w:val="00A34D06"/>
    <w:rsid w:val="00A367F7"/>
    <w:rsid w:val="00A36CCF"/>
    <w:rsid w:val="00A36D25"/>
    <w:rsid w:val="00A40B89"/>
    <w:rsid w:val="00A416CA"/>
    <w:rsid w:val="00A421ED"/>
    <w:rsid w:val="00A43E55"/>
    <w:rsid w:val="00A469C6"/>
    <w:rsid w:val="00A477CB"/>
    <w:rsid w:val="00A47C5B"/>
    <w:rsid w:val="00A504A5"/>
    <w:rsid w:val="00A50FCF"/>
    <w:rsid w:val="00A51C2F"/>
    <w:rsid w:val="00A52304"/>
    <w:rsid w:val="00A52995"/>
    <w:rsid w:val="00A53D48"/>
    <w:rsid w:val="00A53E9B"/>
    <w:rsid w:val="00A54F88"/>
    <w:rsid w:val="00A573A2"/>
    <w:rsid w:val="00A57B6A"/>
    <w:rsid w:val="00A60297"/>
    <w:rsid w:val="00A622B3"/>
    <w:rsid w:val="00A627EA"/>
    <w:rsid w:val="00A63670"/>
    <w:rsid w:val="00A63775"/>
    <w:rsid w:val="00A6395A"/>
    <w:rsid w:val="00A64627"/>
    <w:rsid w:val="00A703CC"/>
    <w:rsid w:val="00A708FD"/>
    <w:rsid w:val="00A7131B"/>
    <w:rsid w:val="00A72B53"/>
    <w:rsid w:val="00A740C3"/>
    <w:rsid w:val="00A74597"/>
    <w:rsid w:val="00A74919"/>
    <w:rsid w:val="00A74F1B"/>
    <w:rsid w:val="00A75122"/>
    <w:rsid w:val="00A752A9"/>
    <w:rsid w:val="00A80EC5"/>
    <w:rsid w:val="00A81FC9"/>
    <w:rsid w:val="00A81FD7"/>
    <w:rsid w:val="00A822D0"/>
    <w:rsid w:val="00A830B6"/>
    <w:rsid w:val="00A8366A"/>
    <w:rsid w:val="00A83D55"/>
    <w:rsid w:val="00A86856"/>
    <w:rsid w:val="00A87CBF"/>
    <w:rsid w:val="00A87CE1"/>
    <w:rsid w:val="00A925E0"/>
    <w:rsid w:val="00A96458"/>
    <w:rsid w:val="00AA02BC"/>
    <w:rsid w:val="00AA133B"/>
    <w:rsid w:val="00AA143A"/>
    <w:rsid w:val="00AA1463"/>
    <w:rsid w:val="00AA35D2"/>
    <w:rsid w:val="00AA3D03"/>
    <w:rsid w:val="00AA4B68"/>
    <w:rsid w:val="00AA54A8"/>
    <w:rsid w:val="00AA5E6C"/>
    <w:rsid w:val="00AA62DE"/>
    <w:rsid w:val="00AB1F99"/>
    <w:rsid w:val="00AB22CB"/>
    <w:rsid w:val="00AB2685"/>
    <w:rsid w:val="00AB398A"/>
    <w:rsid w:val="00AB3C75"/>
    <w:rsid w:val="00AB5B2B"/>
    <w:rsid w:val="00AB6794"/>
    <w:rsid w:val="00AB67CB"/>
    <w:rsid w:val="00AB7446"/>
    <w:rsid w:val="00AC07DD"/>
    <w:rsid w:val="00AC474D"/>
    <w:rsid w:val="00AC74A6"/>
    <w:rsid w:val="00AD0FF8"/>
    <w:rsid w:val="00AD3813"/>
    <w:rsid w:val="00AD3B50"/>
    <w:rsid w:val="00AD3EA4"/>
    <w:rsid w:val="00AD5772"/>
    <w:rsid w:val="00AD6261"/>
    <w:rsid w:val="00AD72B4"/>
    <w:rsid w:val="00AD7654"/>
    <w:rsid w:val="00AD7A22"/>
    <w:rsid w:val="00AE1134"/>
    <w:rsid w:val="00AE18E0"/>
    <w:rsid w:val="00AE3541"/>
    <w:rsid w:val="00AE434C"/>
    <w:rsid w:val="00AE46DF"/>
    <w:rsid w:val="00AE7696"/>
    <w:rsid w:val="00AF1154"/>
    <w:rsid w:val="00AF1827"/>
    <w:rsid w:val="00AF1FB9"/>
    <w:rsid w:val="00AF21F2"/>
    <w:rsid w:val="00AF2C84"/>
    <w:rsid w:val="00AF2FF2"/>
    <w:rsid w:val="00AF3CE2"/>
    <w:rsid w:val="00AF486C"/>
    <w:rsid w:val="00AF52BF"/>
    <w:rsid w:val="00B0021F"/>
    <w:rsid w:val="00B01636"/>
    <w:rsid w:val="00B022D2"/>
    <w:rsid w:val="00B02E09"/>
    <w:rsid w:val="00B03C2C"/>
    <w:rsid w:val="00B04088"/>
    <w:rsid w:val="00B0433C"/>
    <w:rsid w:val="00B04C56"/>
    <w:rsid w:val="00B04CD1"/>
    <w:rsid w:val="00B058F0"/>
    <w:rsid w:val="00B05ACB"/>
    <w:rsid w:val="00B0618F"/>
    <w:rsid w:val="00B07DF0"/>
    <w:rsid w:val="00B1210C"/>
    <w:rsid w:val="00B12470"/>
    <w:rsid w:val="00B13B89"/>
    <w:rsid w:val="00B14BD8"/>
    <w:rsid w:val="00B151A4"/>
    <w:rsid w:val="00B20295"/>
    <w:rsid w:val="00B2151C"/>
    <w:rsid w:val="00B22825"/>
    <w:rsid w:val="00B23EA8"/>
    <w:rsid w:val="00B2464A"/>
    <w:rsid w:val="00B2765B"/>
    <w:rsid w:val="00B30043"/>
    <w:rsid w:val="00B301BB"/>
    <w:rsid w:val="00B30B8B"/>
    <w:rsid w:val="00B30E90"/>
    <w:rsid w:val="00B342BC"/>
    <w:rsid w:val="00B35E3B"/>
    <w:rsid w:val="00B363DA"/>
    <w:rsid w:val="00B376BB"/>
    <w:rsid w:val="00B37FA3"/>
    <w:rsid w:val="00B4193F"/>
    <w:rsid w:val="00B41A8E"/>
    <w:rsid w:val="00B420AE"/>
    <w:rsid w:val="00B43231"/>
    <w:rsid w:val="00B448BB"/>
    <w:rsid w:val="00B46468"/>
    <w:rsid w:val="00B50821"/>
    <w:rsid w:val="00B5156D"/>
    <w:rsid w:val="00B51747"/>
    <w:rsid w:val="00B51A0B"/>
    <w:rsid w:val="00B53F61"/>
    <w:rsid w:val="00B5477F"/>
    <w:rsid w:val="00B56151"/>
    <w:rsid w:val="00B60814"/>
    <w:rsid w:val="00B63679"/>
    <w:rsid w:val="00B63959"/>
    <w:rsid w:val="00B63B8E"/>
    <w:rsid w:val="00B64389"/>
    <w:rsid w:val="00B65697"/>
    <w:rsid w:val="00B67B99"/>
    <w:rsid w:val="00B67C21"/>
    <w:rsid w:val="00B67D01"/>
    <w:rsid w:val="00B71FE3"/>
    <w:rsid w:val="00B72FD2"/>
    <w:rsid w:val="00B73AC2"/>
    <w:rsid w:val="00B74580"/>
    <w:rsid w:val="00B74FA9"/>
    <w:rsid w:val="00B753D2"/>
    <w:rsid w:val="00B76AD0"/>
    <w:rsid w:val="00B76FFB"/>
    <w:rsid w:val="00B805F9"/>
    <w:rsid w:val="00B83DD3"/>
    <w:rsid w:val="00B84852"/>
    <w:rsid w:val="00B85426"/>
    <w:rsid w:val="00B858F2"/>
    <w:rsid w:val="00B8611A"/>
    <w:rsid w:val="00B8664F"/>
    <w:rsid w:val="00B919B8"/>
    <w:rsid w:val="00B92085"/>
    <w:rsid w:val="00B92976"/>
    <w:rsid w:val="00B92F4E"/>
    <w:rsid w:val="00B935BB"/>
    <w:rsid w:val="00B94257"/>
    <w:rsid w:val="00B97032"/>
    <w:rsid w:val="00B978C4"/>
    <w:rsid w:val="00BA0DBE"/>
    <w:rsid w:val="00BA2017"/>
    <w:rsid w:val="00BA23E9"/>
    <w:rsid w:val="00BA2989"/>
    <w:rsid w:val="00BA2DE7"/>
    <w:rsid w:val="00BA3523"/>
    <w:rsid w:val="00BA3E82"/>
    <w:rsid w:val="00BA78A3"/>
    <w:rsid w:val="00BA7F03"/>
    <w:rsid w:val="00BB0127"/>
    <w:rsid w:val="00BB0344"/>
    <w:rsid w:val="00BB0746"/>
    <w:rsid w:val="00BB0951"/>
    <w:rsid w:val="00BB0A5E"/>
    <w:rsid w:val="00BB0D48"/>
    <w:rsid w:val="00BB169C"/>
    <w:rsid w:val="00BB1EFE"/>
    <w:rsid w:val="00BB27BB"/>
    <w:rsid w:val="00BB45A5"/>
    <w:rsid w:val="00BB51E9"/>
    <w:rsid w:val="00BB52F5"/>
    <w:rsid w:val="00BB65ED"/>
    <w:rsid w:val="00BB7FDA"/>
    <w:rsid w:val="00BC0489"/>
    <w:rsid w:val="00BC0590"/>
    <w:rsid w:val="00BC3885"/>
    <w:rsid w:val="00BC3C2E"/>
    <w:rsid w:val="00BC50C9"/>
    <w:rsid w:val="00BC5843"/>
    <w:rsid w:val="00BC5858"/>
    <w:rsid w:val="00BC5B76"/>
    <w:rsid w:val="00BC6390"/>
    <w:rsid w:val="00BC64EC"/>
    <w:rsid w:val="00BC7479"/>
    <w:rsid w:val="00BD0265"/>
    <w:rsid w:val="00BD2288"/>
    <w:rsid w:val="00BD321F"/>
    <w:rsid w:val="00BD697D"/>
    <w:rsid w:val="00BD6AFB"/>
    <w:rsid w:val="00BD6D12"/>
    <w:rsid w:val="00BE1EF3"/>
    <w:rsid w:val="00BE3281"/>
    <w:rsid w:val="00BE35A7"/>
    <w:rsid w:val="00BE4A2B"/>
    <w:rsid w:val="00BF2249"/>
    <w:rsid w:val="00BF26D2"/>
    <w:rsid w:val="00BF30B7"/>
    <w:rsid w:val="00BF3577"/>
    <w:rsid w:val="00BF3838"/>
    <w:rsid w:val="00BF4C45"/>
    <w:rsid w:val="00C00154"/>
    <w:rsid w:val="00C0191C"/>
    <w:rsid w:val="00C01A89"/>
    <w:rsid w:val="00C0219B"/>
    <w:rsid w:val="00C043FE"/>
    <w:rsid w:val="00C051D9"/>
    <w:rsid w:val="00C0599B"/>
    <w:rsid w:val="00C0601A"/>
    <w:rsid w:val="00C064B9"/>
    <w:rsid w:val="00C07EE6"/>
    <w:rsid w:val="00C10167"/>
    <w:rsid w:val="00C12D88"/>
    <w:rsid w:val="00C16178"/>
    <w:rsid w:val="00C179B4"/>
    <w:rsid w:val="00C17F25"/>
    <w:rsid w:val="00C20675"/>
    <w:rsid w:val="00C22D24"/>
    <w:rsid w:val="00C23FA8"/>
    <w:rsid w:val="00C25341"/>
    <w:rsid w:val="00C26319"/>
    <w:rsid w:val="00C265CF"/>
    <w:rsid w:val="00C27AD0"/>
    <w:rsid w:val="00C27F51"/>
    <w:rsid w:val="00C303E0"/>
    <w:rsid w:val="00C31408"/>
    <w:rsid w:val="00C33039"/>
    <w:rsid w:val="00C34065"/>
    <w:rsid w:val="00C34CB2"/>
    <w:rsid w:val="00C34E61"/>
    <w:rsid w:val="00C356C1"/>
    <w:rsid w:val="00C35AD5"/>
    <w:rsid w:val="00C3666B"/>
    <w:rsid w:val="00C40697"/>
    <w:rsid w:val="00C416FC"/>
    <w:rsid w:val="00C426EC"/>
    <w:rsid w:val="00C436F7"/>
    <w:rsid w:val="00C44F78"/>
    <w:rsid w:val="00C46648"/>
    <w:rsid w:val="00C46766"/>
    <w:rsid w:val="00C51DD6"/>
    <w:rsid w:val="00C5320D"/>
    <w:rsid w:val="00C53861"/>
    <w:rsid w:val="00C53B3C"/>
    <w:rsid w:val="00C53B8F"/>
    <w:rsid w:val="00C54848"/>
    <w:rsid w:val="00C54882"/>
    <w:rsid w:val="00C55B13"/>
    <w:rsid w:val="00C5701D"/>
    <w:rsid w:val="00C57F4D"/>
    <w:rsid w:val="00C604F9"/>
    <w:rsid w:val="00C60C8F"/>
    <w:rsid w:val="00C61CA8"/>
    <w:rsid w:val="00C61F34"/>
    <w:rsid w:val="00C629AB"/>
    <w:rsid w:val="00C62C17"/>
    <w:rsid w:val="00C63686"/>
    <w:rsid w:val="00C6388F"/>
    <w:rsid w:val="00C651A4"/>
    <w:rsid w:val="00C656FD"/>
    <w:rsid w:val="00C6616E"/>
    <w:rsid w:val="00C67534"/>
    <w:rsid w:val="00C67B83"/>
    <w:rsid w:val="00C718B7"/>
    <w:rsid w:val="00C71A18"/>
    <w:rsid w:val="00C71FFA"/>
    <w:rsid w:val="00C72346"/>
    <w:rsid w:val="00C7250E"/>
    <w:rsid w:val="00C733B6"/>
    <w:rsid w:val="00C7348C"/>
    <w:rsid w:val="00C76649"/>
    <w:rsid w:val="00C76D66"/>
    <w:rsid w:val="00C77D71"/>
    <w:rsid w:val="00C77F8B"/>
    <w:rsid w:val="00C80B64"/>
    <w:rsid w:val="00C82770"/>
    <w:rsid w:val="00C8344B"/>
    <w:rsid w:val="00C84032"/>
    <w:rsid w:val="00C85171"/>
    <w:rsid w:val="00C85307"/>
    <w:rsid w:val="00C85460"/>
    <w:rsid w:val="00C85C95"/>
    <w:rsid w:val="00C85CAA"/>
    <w:rsid w:val="00C85CC8"/>
    <w:rsid w:val="00C87297"/>
    <w:rsid w:val="00C94173"/>
    <w:rsid w:val="00C94AD0"/>
    <w:rsid w:val="00C9559C"/>
    <w:rsid w:val="00C95FB6"/>
    <w:rsid w:val="00C96900"/>
    <w:rsid w:val="00C969F2"/>
    <w:rsid w:val="00CA044A"/>
    <w:rsid w:val="00CA0967"/>
    <w:rsid w:val="00CA0ECC"/>
    <w:rsid w:val="00CA0F04"/>
    <w:rsid w:val="00CA108E"/>
    <w:rsid w:val="00CA3056"/>
    <w:rsid w:val="00CA3236"/>
    <w:rsid w:val="00CA3859"/>
    <w:rsid w:val="00CA4A8D"/>
    <w:rsid w:val="00CA6ABB"/>
    <w:rsid w:val="00CB0385"/>
    <w:rsid w:val="00CB05C9"/>
    <w:rsid w:val="00CB06E6"/>
    <w:rsid w:val="00CB1430"/>
    <w:rsid w:val="00CB59DF"/>
    <w:rsid w:val="00CB5E39"/>
    <w:rsid w:val="00CB78E1"/>
    <w:rsid w:val="00CC0ADD"/>
    <w:rsid w:val="00CC1296"/>
    <w:rsid w:val="00CC1B8F"/>
    <w:rsid w:val="00CC2A3C"/>
    <w:rsid w:val="00CC5180"/>
    <w:rsid w:val="00CC52AF"/>
    <w:rsid w:val="00CC58B8"/>
    <w:rsid w:val="00CC59E7"/>
    <w:rsid w:val="00CC5CB9"/>
    <w:rsid w:val="00CC5D47"/>
    <w:rsid w:val="00CC6142"/>
    <w:rsid w:val="00CC6A3B"/>
    <w:rsid w:val="00CC74F3"/>
    <w:rsid w:val="00CD0318"/>
    <w:rsid w:val="00CD08AC"/>
    <w:rsid w:val="00CD1227"/>
    <w:rsid w:val="00CD4775"/>
    <w:rsid w:val="00CD60BB"/>
    <w:rsid w:val="00CD6155"/>
    <w:rsid w:val="00CE0BC3"/>
    <w:rsid w:val="00CE0D4D"/>
    <w:rsid w:val="00CE1649"/>
    <w:rsid w:val="00CE1884"/>
    <w:rsid w:val="00CE1A2C"/>
    <w:rsid w:val="00CE307B"/>
    <w:rsid w:val="00CE379B"/>
    <w:rsid w:val="00CE4677"/>
    <w:rsid w:val="00CE4FBA"/>
    <w:rsid w:val="00CE549F"/>
    <w:rsid w:val="00CE593C"/>
    <w:rsid w:val="00CE618D"/>
    <w:rsid w:val="00CE6950"/>
    <w:rsid w:val="00CF02D3"/>
    <w:rsid w:val="00CF0A8F"/>
    <w:rsid w:val="00CF0DF8"/>
    <w:rsid w:val="00CF13BE"/>
    <w:rsid w:val="00CF2021"/>
    <w:rsid w:val="00CF2460"/>
    <w:rsid w:val="00CF2546"/>
    <w:rsid w:val="00CF29B1"/>
    <w:rsid w:val="00CF3082"/>
    <w:rsid w:val="00CF3A63"/>
    <w:rsid w:val="00CF3C50"/>
    <w:rsid w:val="00CF4BB2"/>
    <w:rsid w:val="00CF4E85"/>
    <w:rsid w:val="00CF53A1"/>
    <w:rsid w:val="00CF5C0F"/>
    <w:rsid w:val="00CF60F9"/>
    <w:rsid w:val="00CF6777"/>
    <w:rsid w:val="00CF69A4"/>
    <w:rsid w:val="00CF6B29"/>
    <w:rsid w:val="00D00A4B"/>
    <w:rsid w:val="00D00D32"/>
    <w:rsid w:val="00D01EA2"/>
    <w:rsid w:val="00D03569"/>
    <w:rsid w:val="00D03EA7"/>
    <w:rsid w:val="00D048AA"/>
    <w:rsid w:val="00D05C2C"/>
    <w:rsid w:val="00D0634A"/>
    <w:rsid w:val="00D12B29"/>
    <w:rsid w:val="00D1347E"/>
    <w:rsid w:val="00D139ED"/>
    <w:rsid w:val="00D13DD2"/>
    <w:rsid w:val="00D14EFA"/>
    <w:rsid w:val="00D15243"/>
    <w:rsid w:val="00D152FE"/>
    <w:rsid w:val="00D16B10"/>
    <w:rsid w:val="00D173F2"/>
    <w:rsid w:val="00D20854"/>
    <w:rsid w:val="00D22BFC"/>
    <w:rsid w:val="00D22FC1"/>
    <w:rsid w:val="00D2352E"/>
    <w:rsid w:val="00D235CB"/>
    <w:rsid w:val="00D23610"/>
    <w:rsid w:val="00D26C6B"/>
    <w:rsid w:val="00D30732"/>
    <w:rsid w:val="00D30DAC"/>
    <w:rsid w:val="00D32149"/>
    <w:rsid w:val="00D32520"/>
    <w:rsid w:val="00D33FED"/>
    <w:rsid w:val="00D34D9C"/>
    <w:rsid w:val="00D37D67"/>
    <w:rsid w:val="00D40E2A"/>
    <w:rsid w:val="00D41D11"/>
    <w:rsid w:val="00D42218"/>
    <w:rsid w:val="00D42A26"/>
    <w:rsid w:val="00D42CB2"/>
    <w:rsid w:val="00D44191"/>
    <w:rsid w:val="00D44345"/>
    <w:rsid w:val="00D44916"/>
    <w:rsid w:val="00D47E4F"/>
    <w:rsid w:val="00D50FBD"/>
    <w:rsid w:val="00D5252F"/>
    <w:rsid w:val="00D53144"/>
    <w:rsid w:val="00D53B48"/>
    <w:rsid w:val="00D53C21"/>
    <w:rsid w:val="00D551A6"/>
    <w:rsid w:val="00D56BDE"/>
    <w:rsid w:val="00D609C9"/>
    <w:rsid w:val="00D62071"/>
    <w:rsid w:val="00D6242B"/>
    <w:rsid w:val="00D6273F"/>
    <w:rsid w:val="00D62E13"/>
    <w:rsid w:val="00D6398F"/>
    <w:rsid w:val="00D639B3"/>
    <w:rsid w:val="00D66531"/>
    <w:rsid w:val="00D676BB"/>
    <w:rsid w:val="00D67F36"/>
    <w:rsid w:val="00D72166"/>
    <w:rsid w:val="00D72DB7"/>
    <w:rsid w:val="00D72F62"/>
    <w:rsid w:val="00D73122"/>
    <w:rsid w:val="00D74B13"/>
    <w:rsid w:val="00D76EC9"/>
    <w:rsid w:val="00D77F5B"/>
    <w:rsid w:val="00D804A2"/>
    <w:rsid w:val="00D816B2"/>
    <w:rsid w:val="00D83096"/>
    <w:rsid w:val="00D84C1C"/>
    <w:rsid w:val="00D870BB"/>
    <w:rsid w:val="00D90CAB"/>
    <w:rsid w:val="00D90D81"/>
    <w:rsid w:val="00D92379"/>
    <w:rsid w:val="00D95B3C"/>
    <w:rsid w:val="00D95E75"/>
    <w:rsid w:val="00D9740A"/>
    <w:rsid w:val="00DA11DF"/>
    <w:rsid w:val="00DA202E"/>
    <w:rsid w:val="00DA39F4"/>
    <w:rsid w:val="00DA4BC2"/>
    <w:rsid w:val="00DA737C"/>
    <w:rsid w:val="00DB105C"/>
    <w:rsid w:val="00DB2B29"/>
    <w:rsid w:val="00DB2B67"/>
    <w:rsid w:val="00DB6672"/>
    <w:rsid w:val="00DB7762"/>
    <w:rsid w:val="00DB7990"/>
    <w:rsid w:val="00DB7E09"/>
    <w:rsid w:val="00DC0C5A"/>
    <w:rsid w:val="00DC115A"/>
    <w:rsid w:val="00DC402F"/>
    <w:rsid w:val="00DC5545"/>
    <w:rsid w:val="00DC6F1E"/>
    <w:rsid w:val="00DD028A"/>
    <w:rsid w:val="00DD0880"/>
    <w:rsid w:val="00DD183D"/>
    <w:rsid w:val="00DD2437"/>
    <w:rsid w:val="00DD361B"/>
    <w:rsid w:val="00DD4D25"/>
    <w:rsid w:val="00DD501D"/>
    <w:rsid w:val="00DD51BC"/>
    <w:rsid w:val="00DD592F"/>
    <w:rsid w:val="00DD6D33"/>
    <w:rsid w:val="00DD6DB9"/>
    <w:rsid w:val="00DD7D21"/>
    <w:rsid w:val="00DE0020"/>
    <w:rsid w:val="00DE0306"/>
    <w:rsid w:val="00DE0F89"/>
    <w:rsid w:val="00DE1180"/>
    <w:rsid w:val="00DE128D"/>
    <w:rsid w:val="00DE32EE"/>
    <w:rsid w:val="00DE4B5E"/>
    <w:rsid w:val="00DE56FA"/>
    <w:rsid w:val="00DE5F37"/>
    <w:rsid w:val="00DE6710"/>
    <w:rsid w:val="00DE75A0"/>
    <w:rsid w:val="00DE77AE"/>
    <w:rsid w:val="00DE7CF7"/>
    <w:rsid w:val="00DF081F"/>
    <w:rsid w:val="00DF096E"/>
    <w:rsid w:val="00DF10F6"/>
    <w:rsid w:val="00DF1D50"/>
    <w:rsid w:val="00DF2F65"/>
    <w:rsid w:val="00DF32D2"/>
    <w:rsid w:val="00DF4D07"/>
    <w:rsid w:val="00DF4F67"/>
    <w:rsid w:val="00DF50E6"/>
    <w:rsid w:val="00DF6352"/>
    <w:rsid w:val="00DF6668"/>
    <w:rsid w:val="00DF7C90"/>
    <w:rsid w:val="00E00119"/>
    <w:rsid w:val="00E00638"/>
    <w:rsid w:val="00E00872"/>
    <w:rsid w:val="00E0091D"/>
    <w:rsid w:val="00E01DBE"/>
    <w:rsid w:val="00E03E5A"/>
    <w:rsid w:val="00E04472"/>
    <w:rsid w:val="00E04905"/>
    <w:rsid w:val="00E060A6"/>
    <w:rsid w:val="00E129F6"/>
    <w:rsid w:val="00E139A9"/>
    <w:rsid w:val="00E152FD"/>
    <w:rsid w:val="00E156D8"/>
    <w:rsid w:val="00E15D50"/>
    <w:rsid w:val="00E17468"/>
    <w:rsid w:val="00E17C9A"/>
    <w:rsid w:val="00E17DB3"/>
    <w:rsid w:val="00E20B07"/>
    <w:rsid w:val="00E225F9"/>
    <w:rsid w:val="00E23C60"/>
    <w:rsid w:val="00E2482E"/>
    <w:rsid w:val="00E25590"/>
    <w:rsid w:val="00E25967"/>
    <w:rsid w:val="00E26600"/>
    <w:rsid w:val="00E26B87"/>
    <w:rsid w:val="00E27EC2"/>
    <w:rsid w:val="00E312E0"/>
    <w:rsid w:val="00E31974"/>
    <w:rsid w:val="00E32060"/>
    <w:rsid w:val="00E33D33"/>
    <w:rsid w:val="00E35C39"/>
    <w:rsid w:val="00E35E55"/>
    <w:rsid w:val="00E3621B"/>
    <w:rsid w:val="00E4040A"/>
    <w:rsid w:val="00E41DBD"/>
    <w:rsid w:val="00E42B99"/>
    <w:rsid w:val="00E434DE"/>
    <w:rsid w:val="00E44266"/>
    <w:rsid w:val="00E444BE"/>
    <w:rsid w:val="00E4616D"/>
    <w:rsid w:val="00E463EE"/>
    <w:rsid w:val="00E4659F"/>
    <w:rsid w:val="00E4661E"/>
    <w:rsid w:val="00E467A9"/>
    <w:rsid w:val="00E46B10"/>
    <w:rsid w:val="00E47ADE"/>
    <w:rsid w:val="00E47CAA"/>
    <w:rsid w:val="00E47F19"/>
    <w:rsid w:val="00E50667"/>
    <w:rsid w:val="00E513A2"/>
    <w:rsid w:val="00E52F78"/>
    <w:rsid w:val="00E5346B"/>
    <w:rsid w:val="00E53B6A"/>
    <w:rsid w:val="00E557BF"/>
    <w:rsid w:val="00E55800"/>
    <w:rsid w:val="00E559E5"/>
    <w:rsid w:val="00E5602C"/>
    <w:rsid w:val="00E56320"/>
    <w:rsid w:val="00E57A56"/>
    <w:rsid w:val="00E57C94"/>
    <w:rsid w:val="00E57E5C"/>
    <w:rsid w:val="00E604E5"/>
    <w:rsid w:val="00E61941"/>
    <w:rsid w:val="00E6547D"/>
    <w:rsid w:val="00E71070"/>
    <w:rsid w:val="00E7149A"/>
    <w:rsid w:val="00E72474"/>
    <w:rsid w:val="00E7402A"/>
    <w:rsid w:val="00E748A1"/>
    <w:rsid w:val="00E830C5"/>
    <w:rsid w:val="00E836E5"/>
    <w:rsid w:val="00E84460"/>
    <w:rsid w:val="00E84943"/>
    <w:rsid w:val="00E84DA6"/>
    <w:rsid w:val="00E85E1F"/>
    <w:rsid w:val="00E86CDE"/>
    <w:rsid w:val="00E87DBE"/>
    <w:rsid w:val="00E915CB"/>
    <w:rsid w:val="00E91DAD"/>
    <w:rsid w:val="00E92C66"/>
    <w:rsid w:val="00E92DF5"/>
    <w:rsid w:val="00E93825"/>
    <w:rsid w:val="00E94755"/>
    <w:rsid w:val="00E96D38"/>
    <w:rsid w:val="00EA0506"/>
    <w:rsid w:val="00EA3025"/>
    <w:rsid w:val="00EA748B"/>
    <w:rsid w:val="00EA7C7C"/>
    <w:rsid w:val="00EB073F"/>
    <w:rsid w:val="00EB2695"/>
    <w:rsid w:val="00EB32AA"/>
    <w:rsid w:val="00EB3E33"/>
    <w:rsid w:val="00EB5283"/>
    <w:rsid w:val="00EB7618"/>
    <w:rsid w:val="00EC1581"/>
    <w:rsid w:val="00EC2DBE"/>
    <w:rsid w:val="00EC30C1"/>
    <w:rsid w:val="00EC3AD5"/>
    <w:rsid w:val="00EC3E8E"/>
    <w:rsid w:val="00EC4341"/>
    <w:rsid w:val="00EC4B68"/>
    <w:rsid w:val="00EC595A"/>
    <w:rsid w:val="00EC6449"/>
    <w:rsid w:val="00ED0281"/>
    <w:rsid w:val="00ED2224"/>
    <w:rsid w:val="00ED23DE"/>
    <w:rsid w:val="00ED4CA5"/>
    <w:rsid w:val="00ED4CAE"/>
    <w:rsid w:val="00ED62EA"/>
    <w:rsid w:val="00ED6D4D"/>
    <w:rsid w:val="00EE01A5"/>
    <w:rsid w:val="00EE0473"/>
    <w:rsid w:val="00EE0515"/>
    <w:rsid w:val="00EE30FD"/>
    <w:rsid w:val="00EE406C"/>
    <w:rsid w:val="00EE411B"/>
    <w:rsid w:val="00EE436A"/>
    <w:rsid w:val="00EE5698"/>
    <w:rsid w:val="00EE5BE8"/>
    <w:rsid w:val="00EE5EB8"/>
    <w:rsid w:val="00EE6616"/>
    <w:rsid w:val="00EF0258"/>
    <w:rsid w:val="00EF0BEA"/>
    <w:rsid w:val="00EF1199"/>
    <w:rsid w:val="00EF1EDD"/>
    <w:rsid w:val="00EF2560"/>
    <w:rsid w:val="00EF58CA"/>
    <w:rsid w:val="00EF6544"/>
    <w:rsid w:val="00EF673C"/>
    <w:rsid w:val="00F00A82"/>
    <w:rsid w:val="00F011D3"/>
    <w:rsid w:val="00F02FDB"/>
    <w:rsid w:val="00F0306E"/>
    <w:rsid w:val="00F04A46"/>
    <w:rsid w:val="00F05883"/>
    <w:rsid w:val="00F06563"/>
    <w:rsid w:val="00F07D26"/>
    <w:rsid w:val="00F10061"/>
    <w:rsid w:val="00F13226"/>
    <w:rsid w:val="00F1329A"/>
    <w:rsid w:val="00F139C7"/>
    <w:rsid w:val="00F13D1A"/>
    <w:rsid w:val="00F13EBB"/>
    <w:rsid w:val="00F14B0B"/>
    <w:rsid w:val="00F166AA"/>
    <w:rsid w:val="00F1768A"/>
    <w:rsid w:val="00F17A3B"/>
    <w:rsid w:val="00F2099B"/>
    <w:rsid w:val="00F21880"/>
    <w:rsid w:val="00F22137"/>
    <w:rsid w:val="00F2230F"/>
    <w:rsid w:val="00F2577C"/>
    <w:rsid w:val="00F25D1C"/>
    <w:rsid w:val="00F263FD"/>
    <w:rsid w:val="00F265E9"/>
    <w:rsid w:val="00F26B16"/>
    <w:rsid w:val="00F27BFF"/>
    <w:rsid w:val="00F3066F"/>
    <w:rsid w:val="00F30978"/>
    <w:rsid w:val="00F31809"/>
    <w:rsid w:val="00F31A0D"/>
    <w:rsid w:val="00F32137"/>
    <w:rsid w:val="00F33F8B"/>
    <w:rsid w:val="00F34164"/>
    <w:rsid w:val="00F3459C"/>
    <w:rsid w:val="00F347E2"/>
    <w:rsid w:val="00F35007"/>
    <w:rsid w:val="00F37200"/>
    <w:rsid w:val="00F4013D"/>
    <w:rsid w:val="00F4047F"/>
    <w:rsid w:val="00F40A08"/>
    <w:rsid w:val="00F40AF0"/>
    <w:rsid w:val="00F41EEE"/>
    <w:rsid w:val="00F43B12"/>
    <w:rsid w:val="00F43C60"/>
    <w:rsid w:val="00F43C79"/>
    <w:rsid w:val="00F449EB"/>
    <w:rsid w:val="00F457BF"/>
    <w:rsid w:val="00F457F6"/>
    <w:rsid w:val="00F46125"/>
    <w:rsid w:val="00F511FC"/>
    <w:rsid w:val="00F5134A"/>
    <w:rsid w:val="00F513AB"/>
    <w:rsid w:val="00F521A8"/>
    <w:rsid w:val="00F52FBD"/>
    <w:rsid w:val="00F531B7"/>
    <w:rsid w:val="00F534D9"/>
    <w:rsid w:val="00F53C0D"/>
    <w:rsid w:val="00F544BA"/>
    <w:rsid w:val="00F54F24"/>
    <w:rsid w:val="00F54FC3"/>
    <w:rsid w:val="00F558B8"/>
    <w:rsid w:val="00F55C5B"/>
    <w:rsid w:val="00F55F32"/>
    <w:rsid w:val="00F57512"/>
    <w:rsid w:val="00F57C49"/>
    <w:rsid w:val="00F603E0"/>
    <w:rsid w:val="00F60CBA"/>
    <w:rsid w:val="00F62C2A"/>
    <w:rsid w:val="00F638A2"/>
    <w:rsid w:val="00F63A54"/>
    <w:rsid w:val="00F63B57"/>
    <w:rsid w:val="00F648DB"/>
    <w:rsid w:val="00F65734"/>
    <w:rsid w:val="00F65A7B"/>
    <w:rsid w:val="00F7318B"/>
    <w:rsid w:val="00F73921"/>
    <w:rsid w:val="00F739DC"/>
    <w:rsid w:val="00F758CB"/>
    <w:rsid w:val="00F76E0B"/>
    <w:rsid w:val="00F77772"/>
    <w:rsid w:val="00F8059A"/>
    <w:rsid w:val="00F83446"/>
    <w:rsid w:val="00F84651"/>
    <w:rsid w:val="00F85486"/>
    <w:rsid w:val="00F866D6"/>
    <w:rsid w:val="00F86779"/>
    <w:rsid w:val="00F8688A"/>
    <w:rsid w:val="00F870C4"/>
    <w:rsid w:val="00F90399"/>
    <w:rsid w:val="00F90E71"/>
    <w:rsid w:val="00F91976"/>
    <w:rsid w:val="00F93C82"/>
    <w:rsid w:val="00F96641"/>
    <w:rsid w:val="00F96945"/>
    <w:rsid w:val="00F97172"/>
    <w:rsid w:val="00F975EA"/>
    <w:rsid w:val="00FA0332"/>
    <w:rsid w:val="00FA0532"/>
    <w:rsid w:val="00FA0E1E"/>
    <w:rsid w:val="00FA1D22"/>
    <w:rsid w:val="00FA214D"/>
    <w:rsid w:val="00FA4330"/>
    <w:rsid w:val="00FA5248"/>
    <w:rsid w:val="00FA7662"/>
    <w:rsid w:val="00FB156E"/>
    <w:rsid w:val="00FB1F8A"/>
    <w:rsid w:val="00FB2FF0"/>
    <w:rsid w:val="00FB37DC"/>
    <w:rsid w:val="00FB48D4"/>
    <w:rsid w:val="00FB570F"/>
    <w:rsid w:val="00FC0888"/>
    <w:rsid w:val="00FC116B"/>
    <w:rsid w:val="00FC24B0"/>
    <w:rsid w:val="00FC2DCA"/>
    <w:rsid w:val="00FC2F36"/>
    <w:rsid w:val="00FC318D"/>
    <w:rsid w:val="00FC4CFA"/>
    <w:rsid w:val="00FC4E98"/>
    <w:rsid w:val="00FC5134"/>
    <w:rsid w:val="00FC6915"/>
    <w:rsid w:val="00FC759E"/>
    <w:rsid w:val="00FC7B2C"/>
    <w:rsid w:val="00FD2215"/>
    <w:rsid w:val="00FD2570"/>
    <w:rsid w:val="00FD3646"/>
    <w:rsid w:val="00FD383D"/>
    <w:rsid w:val="00FD42FA"/>
    <w:rsid w:val="00FD4950"/>
    <w:rsid w:val="00FD5999"/>
    <w:rsid w:val="00FD616E"/>
    <w:rsid w:val="00FD691A"/>
    <w:rsid w:val="00FD78EF"/>
    <w:rsid w:val="00FD7C92"/>
    <w:rsid w:val="00FE0578"/>
    <w:rsid w:val="00FE0BD2"/>
    <w:rsid w:val="00FE0D91"/>
    <w:rsid w:val="00FE0F90"/>
    <w:rsid w:val="00FE1CA9"/>
    <w:rsid w:val="00FE2651"/>
    <w:rsid w:val="00FE2BB7"/>
    <w:rsid w:val="00FE3B16"/>
    <w:rsid w:val="00FE65E5"/>
    <w:rsid w:val="00FE6CDA"/>
    <w:rsid w:val="00FE7045"/>
    <w:rsid w:val="00FF15A5"/>
    <w:rsid w:val="00FF24F9"/>
    <w:rsid w:val="00FF29DC"/>
    <w:rsid w:val="00FF2AEB"/>
    <w:rsid w:val="00FF3E1E"/>
    <w:rsid w:val="00FF4026"/>
    <w:rsid w:val="00FF4AD4"/>
    <w:rsid w:val="00FF5A1C"/>
    <w:rsid w:val="00FF6175"/>
    <w:rsid w:val="00FF63D0"/>
    <w:rsid w:val="00FF69BC"/>
    <w:rsid w:val="00FF724B"/>
    <w:rsid w:val="00FF7634"/>
    <w:rsid w:val="03D14BF7"/>
    <w:rsid w:val="04A066B0"/>
    <w:rsid w:val="08327353"/>
    <w:rsid w:val="09243BD0"/>
    <w:rsid w:val="09E11FED"/>
    <w:rsid w:val="0A8152CD"/>
    <w:rsid w:val="0B070AE2"/>
    <w:rsid w:val="0BF9C3FA"/>
    <w:rsid w:val="0C3D4D47"/>
    <w:rsid w:val="0D590AB9"/>
    <w:rsid w:val="0D8F0D3E"/>
    <w:rsid w:val="10C259E0"/>
    <w:rsid w:val="10FC3059"/>
    <w:rsid w:val="131F00EB"/>
    <w:rsid w:val="17137C8E"/>
    <w:rsid w:val="1ADE89D3"/>
    <w:rsid w:val="1AFF18DB"/>
    <w:rsid w:val="1E783B51"/>
    <w:rsid w:val="1F767751"/>
    <w:rsid w:val="217D4F45"/>
    <w:rsid w:val="23F69E34"/>
    <w:rsid w:val="27630848"/>
    <w:rsid w:val="27914A0E"/>
    <w:rsid w:val="27BFC9FA"/>
    <w:rsid w:val="294206B3"/>
    <w:rsid w:val="2A8D3D56"/>
    <w:rsid w:val="2BD3551E"/>
    <w:rsid w:val="2C1E78EF"/>
    <w:rsid w:val="2D395EDB"/>
    <w:rsid w:val="2E4E7725"/>
    <w:rsid w:val="2FAD4FAD"/>
    <w:rsid w:val="30DE409F"/>
    <w:rsid w:val="32693350"/>
    <w:rsid w:val="34181B0B"/>
    <w:rsid w:val="36743388"/>
    <w:rsid w:val="37B05FEC"/>
    <w:rsid w:val="380E6DF2"/>
    <w:rsid w:val="40794164"/>
    <w:rsid w:val="415F544E"/>
    <w:rsid w:val="438A044D"/>
    <w:rsid w:val="44A73879"/>
    <w:rsid w:val="45D80079"/>
    <w:rsid w:val="46A21AB1"/>
    <w:rsid w:val="46BA5467"/>
    <w:rsid w:val="47487D47"/>
    <w:rsid w:val="48077923"/>
    <w:rsid w:val="484910D8"/>
    <w:rsid w:val="49E069E7"/>
    <w:rsid w:val="4A2959D5"/>
    <w:rsid w:val="4A62452F"/>
    <w:rsid w:val="4ADD71CD"/>
    <w:rsid w:val="4DFA1511"/>
    <w:rsid w:val="4E175B2C"/>
    <w:rsid w:val="4F442C6E"/>
    <w:rsid w:val="51323AFC"/>
    <w:rsid w:val="515760A1"/>
    <w:rsid w:val="578F7942"/>
    <w:rsid w:val="58250791"/>
    <w:rsid w:val="598D1360"/>
    <w:rsid w:val="5CB17A72"/>
    <w:rsid w:val="5CFF1361"/>
    <w:rsid w:val="5DD7E133"/>
    <w:rsid w:val="5DF36CA1"/>
    <w:rsid w:val="5DFE0610"/>
    <w:rsid w:val="5E654660"/>
    <w:rsid w:val="5FB2777E"/>
    <w:rsid w:val="5FE99726"/>
    <w:rsid w:val="607506BF"/>
    <w:rsid w:val="60B97540"/>
    <w:rsid w:val="62F81FED"/>
    <w:rsid w:val="64F227DD"/>
    <w:rsid w:val="6632631D"/>
    <w:rsid w:val="67EB3815"/>
    <w:rsid w:val="69DF39A3"/>
    <w:rsid w:val="69FF2708"/>
    <w:rsid w:val="6AE73F0D"/>
    <w:rsid w:val="6B9F61A2"/>
    <w:rsid w:val="6D2B63E0"/>
    <w:rsid w:val="6EF69C8E"/>
    <w:rsid w:val="6EFFB29A"/>
    <w:rsid w:val="707C2A05"/>
    <w:rsid w:val="71214B7D"/>
    <w:rsid w:val="722B28AD"/>
    <w:rsid w:val="722E35F3"/>
    <w:rsid w:val="724E1C9F"/>
    <w:rsid w:val="730E49C5"/>
    <w:rsid w:val="73A50FC7"/>
    <w:rsid w:val="73B31280"/>
    <w:rsid w:val="745A666D"/>
    <w:rsid w:val="75382CC8"/>
    <w:rsid w:val="757306DF"/>
    <w:rsid w:val="75EFB4C1"/>
    <w:rsid w:val="765CD038"/>
    <w:rsid w:val="77706043"/>
    <w:rsid w:val="79902E28"/>
    <w:rsid w:val="7ADF1FCD"/>
    <w:rsid w:val="7AEF691D"/>
    <w:rsid w:val="7AFCDDB7"/>
    <w:rsid w:val="7BE94EDB"/>
    <w:rsid w:val="7C602A0D"/>
    <w:rsid w:val="7CFBD9DB"/>
    <w:rsid w:val="7E733544"/>
    <w:rsid w:val="7EEC7169"/>
    <w:rsid w:val="7FD78583"/>
    <w:rsid w:val="7FDBC912"/>
    <w:rsid w:val="7FF3F93F"/>
    <w:rsid w:val="7FF9F585"/>
    <w:rsid w:val="7FFF6950"/>
    <w:rsid w:val="9FFF6BD1"/>
    <w:rsid w:val="B3FF2A8B"/>
    <w:rsid w:val="BB7A6EDA"/>
    <w:rsid w:val="BFB8BD45"/>
    <w:rsid w:val="CEBE1F0C"/>
    <w:rsid w:val="D1ED1FFF"/>
    <w:rsid w:val="DDEE8579"/>
    <w:rsid w:val="EFEEF933"/>
    <w:rsid w:val="F6FBB6B0"/>
    <w:rsid w:val="FA5C82C5"/>
    <w:rsid w:val="FB7F24AA"/>
    <w:rsid w:val="FF7ED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0"/>
      <w:jc w:val="both"/>
    </w:pPr>
    <w:rPr>
      <w:rFonts w:ascii="Times New Roman" w:hAnsi="Times New Roman" w:eastAsia="宋体" w:cs="Times New Roman"/>
      <w:kern w:val="2"/>
      <w:sz w:val="21"/>
      <w:szCs w:val="3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4"/>
    <w:unhideWhenUsed/>
    <w:qFormat/>
    <w:uiPriority w:val="99"/>
    <w:rPr>
      <w:kern w:val="0"/>
      <w:sz w:val="18"/>
      <w:szCs w:val="18"/>
    </w:rPr>
  </w:style>
  <w:style w:type="paragraph" w:styleId="4">
    <w:name w:val="footer"/>
    <w:basedOn w:val="1"/>
    <w:link w:val="15"/>
    <w:unhideWhenUsed/>
    <w:qFormat/>
    <w:uiPriority w:val="99"/>
    <w:pPr>
      <w:tabs>
        <w:tab w:val="center" w:pos="4153"/>
        <w:tab w:val="right" w:pos="8306"/>
      </w:tabs>
      <w:snapToGrid w:val="0"/>
      <w:jc w:val="left"/>
    </w:pPr>
    <w:rPr>
      <w:kern w:val="0"/>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qFormat/>
    <w:uiPriority w:val="99"/>
    <w:pPr>
      <w:widowControl/>
      <w:spacing w:before="75" w:after="75"/>
      <w:ind w:left="0"/>
      <w:jc w:val="left"/>
    </w:pPr>
    <w:rPr>
      <w:rFonts w:ascii="宋体" w:cs="宋体"/>
      <w:kern w:val="0"/>
      <w:sz w:val="24"/>
      <w:szCs w:val="24"/>
    </w:rPr>
  </w:style>
  <w:style w:type="paragraph" w:styleId="7">
    <w:name w:val="annotation subject"/>
    <w:basedOn w:val="2"/>
    <w:next w:val="2"/>
    <w:semiHidden/>
    <w:qFormat/>
    <w:uiPriority w:val="0"/>
    <w:rPr>
      <w:b/>
      <w:bCs/>
    </w:rPr>
  </w:style>
  <w:style w:type="character" w:styleId="10">
    <w:name w:val="Strong"/>
    <w:qFormat/>
    <w:uiPriority w:val="22"/>
    <w:rPr>
      <w:b/>
      <w:bCs/>
    </w:rPr>
  </w:style>
  <w:style w:type="character" w:styleId="11">
    <w:name w:val="Hyperlink"/>
    <w:unhideWhenUsed/>
    <w:qFormat/>
    <w:uiPriority w:val="99"/>
    <w:rPr>
      <w:color w:val="0563C1"/>
      <w:u w:val="single"/>
    </w:rPr>
  </w:style>
  <w:style w:type="character" w:styleId="12">
    <w:name w:val="annotation reference"/>
    <w:semiHidden/>
    <w:qFormat/>
    <w:uiPriority w:val="99"/>
    <w:rPr>
      <w:sz w:val="21"/>
      <w:szCs w:val="21"/>
    </w:rPr>
  </w:style>
  <w:style w:type="character" w:customStyle="1" w:styleId="13">
    <w:name w:val="批注文字 Char"/>
    <w:link w:val="2"/>
    <w:semiHidden/>
    <w:qFormat/>
    <w:uiPriority w:val="99"/>
    <w:rPr>
      <w:kern w:val="2"/>
      <w:sz w:val="21"/>
      <w:szCs w:val="30"/>
    </w:rPr>
  </w:style>
  <w:style w:type="character" w:customStyle="1" w:styleId="14">
    <w:name w:val="批注框文本 Char"/>
    <w:link w:val="3"/>
    <w:semiHidden/>
    <w:qFormat/>
    <w:uiPriority w:val="99"/>
    <w:rPr>
      <w:sz w:val="18"/>
      <w:szCs w:val="18"/>
    </w:rPr>
  </w:style>
  <w:style w:type="character" w:customStyle="1" w:styleId="15">
    <w:name w:val="页脚 Char"/>
    <w:link w:val="4"/>
    <w:qFormat/>
    <w:uiPriority w:val="99"/>
    <w:rPr>
      <w:sz w:val="18"/>
      <w:szCs w:val="18"/>
    </w:rPr>
  </w:style>
  <w:style w:type="character" w:customStyle="1" w:styleId="16">
    <w:name w:val="页眉 Char"/>
    <w:link w:val="5"/>
    <w:qFormat/>
    <w:uiPriority w:val="99"/>
    <w:rPr>
      <w:sz w:val="18"/>
      <w:szCs w:val="18"/>
    </w:rPr>
  </w:style>
  <w:style w:type="character" w:customStyle="1" w:styleId="17">
    <w:name w:val="font11"/>
    <w:qFormat/>
    <w:uiPriority w:val="0"/>
    <w:rPr>
      <w:rFonts w:hint="eastAsia" w:ascii="宋体" w:hAnsi="宋体" w:eastAsia="宋体" w:cs="宋体"/>
      <w:color w:val="000000"/>
      <w:sz w:val="18"/>
      <w:szCs w:val="18"/>
      <w:u w:val="none"/>
    </w:rPr>
  </w:style>
  <w:style w:type="character" w:customStyle="1" w:styleId="18">
    <w:name w:val="hitclass3"/>
    <w:qFormat/>
    <w:uiPriority w:val="0"/>
    <w:rPr>
      <w:color w:val="F72E2E"/>
    </w:rPr>
  </w:style>
  <w:style w:type="character" w:customStyle="1" w:styleId="19">
    <w:name w:val="未处理的提及"/>
    <w:unhideWhenUsed/>
    <w:qFormat/>
    <w:uiPriority w:val="99"/>
    <w:rPr>
      <w:color w:val="605E5C"/>
      <w:shd w:val="clear" w:color="auto" w:fill="E1DFDD"/>
    </w:rPr>
  </w:style>
  <w:style w:type="character" w:customStyle="1" w:styleId="20">
    <w:name w:val="批注文字 字符"/>
    <w:qFormat/>
    <w:uiPriority w:val="99"/>
    <w:rPr>
      <w:kern w:val="2"/>
      <w:sz w:val="21"/>
      <w:szCs w:val="30"/>
    </w:rPr>
  </w:style>
  <w:style w:type="character" w:customStyle="1" w:styleId="21">
    <w:name w:val="font01"/>
    <w:qFormat/>
    <w:uiPriority w:val="0"/>
    <w:rPr>
      <w:rFonts w:hint="eastAsia" w:ascii="宋体" w:hAnsi="宋体" w:eastAsia="宋体" w:cs="宋体"/>
      <w:color w:val="FF00FF"/>
      <w:sz w:val="18"/>
      <w:szCs w:val="18"/>
      <w:u w:val="none"/>
    </w:rPr>
  </w:style>
  <w:style w:type="paragraph" w:customStyle="1" w:styleId="22">
    <w:name w:val="p0"/>
    <w:basedOn w:val="1"/>
    <w:qFormat/>
    <w:uiPriority w:val="0"/>
    <w:pPr>
      <w:widowControl/>
      <w:ind w:left="0"/>
    </w:pPr>
    <w:rPr>
      <w:kern w:val="0"/>
      <w:sz w:val="8"/>
      <w:szCs w:val="8"/>
    </w:rPr>
  </w:style>
  <w:style w:type="paragraph" w:customStyle="1" w:styleId="23">
    <w:name w:val="kuan-content"/>
    <w:basedOn w:val="1"/>
    <w:qFormat/>
    <w:uiPriority w:val="0"/>
    <w:pPr>
      <w:widowControl/>
      <w:spacing w:before="54" w:after="54"/>
      <w:ind w:left="0"/>
      <w:jc w:val="left"/>
    </w:pPr>
    <w:rPr>
      <w:rFonts w:ascii="宋体" w:cs="宋体"/>
      <w:kern w:val="0"/>
      <w:sz w:val="24"/>
      <w:szCs w:val="24"/>
    </w:rPr>
  </w:style>
  <w:style w:type="paragraph" w:styleId="24">
    <w:name w:val="List Paragraph"/>
    <w:basedOn w:val="1"/>
    <w:qFormat/>
    <w:uiPriority w:val="34"/>
    <w:pPr>
      <w:widowControl/>
      <w:ind w:left="0" w:firstLine="420" w:firstLineChars="200"/>
      <w:jc w:val="left"/>
    </w:pPr>
    <w:rPr>
      <w:rFonts w:ascii="宋体" w:cs="宋体"/>
      <w:kern w:val="0"/>
      <w:sz w:val="24"/>
      <w:szCs w:val="24"/>
    </w:rPr>
  </w:style>
  <w:style w:type="paragraph" w:customStyle="1" w:styleId="25">
    <w:name w:val="_Style 24"/>
    <w:semiHidden/>
    <w:qFormat/>
    <w:uiPriority w:val="99"/>
    <w:rPr>
      <w:rFonts w:ascii="Times New Roman" w:hAnsi="Times New Roman" w:eastAsia="宋体" w:cs="Times New Roman"/>
      <w:kern w:val="2"/>
      <w:sz w:val="21"/>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1718</Words>
  <Characters>9798</Characters>
  <Lines>81</Lines>
  <Paragraphs>22</Paragraphs>
  <TotalTime>1075</TotalTime>
  <ScaleCrop>false</ScaleCrop>
  <LinksUpToDate>false</LinksUpToDate>
  <CharactersWithSpaces>11494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2024-07-27T03:59:00Z</dcterms:created>
  <dc:creator>路辉</dc:creator>
  <cp:lastModifiedBy>01004405</cp:lastModifiedBy>
  <cp:lastPrinted>2022-12-16T23:51:00Z</cp:lastPrinted>
  <dcterms:modified xsi:type="dcterms:W3CDTF">2024-08-13T16:01:02Z</dcterms:modified>
  <dc:title>招商银行个人账户开户须知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D849E2244EFF03EA46E2AA66543B4F98</vt:lpwstr>
  </property>
</Properties>
</file>