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1338D" w14:textId="77C421D4" w:rsidR="0057239A" w:rsidRPr="009A017B" w:rsidRDefault="0057239A">
      <w:pPr>
        <w:widowControl w:val="0"/>
        <w:spacing w:after="0" w:line="240" w:lineRule="auto"/>
        <w:jc w:val="center"/>
        <w:rPr>
          <w:rFonts w:ascii="Arial" w:eastAsia="宋体" w:hAnsi="Arial" w:cs="Arial"/>
          <w:b/>
          <w:kern w:val="2"/>
          <w:sz w:val="32"/>
          <w:szCs w:val="32"/>
          <w:lang w:val="en-US"/>
        </w:rPr>
      </w:pPr>
      <w:r w:rsidRPr="009A017B">
        <w:rPr>
          <w:rFonts w:ascii="Arial" w:eastAsia="宋体" w:hAnsi="Arial" w:cs="Arial"/>
          <w:b/>
          <w:kern w:val="2"/>
          <w:sz w:val="32"/>
          <w:szCs w:val="32"/>
          <w:lang w:val="en-US"/>
        </w:rPr>
        <w:t>China Merchants Bank Announces 202</w:t>
      </w:r>
      <w:r w:rsidR="008016BE" w:rsidRPr="009A017B">
        <w:rPr>
          <w:rFonts w:ascii="Arial" w:eastAsia="宋体" w:hAnsi="Arial" w:cs="Arial"/>
          <w:b/>
          <w:kern w:val="2"/>
          <w:sz w:val="32"/>
          <w:szCs w:val="32"/>
          <w:lang w:val="en-US"/>
        </w:rPr>
        <w:t>3</w:t>
      </w:r>
      <w:r w:rsidRPr="009A017B">
        <w:rPr>
          <w:rFonts w:ascii="Arial" w:eastAsia="宋体" w:hAnsi="Arial" w:cs="Arial"/>
          <w:b/>
          <w:kern w:val="2"/>
          <w:sz w:val="32"/>
          <w:szCs w:val="32"/>
          <w:lang w:val="en-US"/>
        </w:rPr>
        <w:t xml:space="preserve"> Interim Results</w:t>
      </w:r>
    </w:p>
    <w:p w14:paraId="16656640" w14:textId="143036B1" w:rsidR="0057239A" w:rsidRPr="009A017B" w:rsidRDefault="000B6881" w:rsidP="0057239A">
      <w:pPr>
        <w:widowControl w:val="0"/>
        <w:spacing w:after="0" w:line="240" w:lineRule="auto"/>
        <w:jc w:val="center"/>
        <w:rPr>
          <w:rFonts w:ascii="Arial" w:eastAsia="宋体" w:hAnsi="Arial" w:cs="Arial"/>
          <w:b/>
          <w:color w:val="000000"/>
          <w:kern w:val="2"/>
          <w:sz w:val="28"/>
          <w:szCs w:val="28"/>
          <w:lang w:val="en-US"/>
        </w:rPr>
      </w:pPr>
      <w:r w:rsidRPr="009A017B">
        <w:rPr>
          <w:rFonts w:ascii="Arial" w:eastAsia="宋体" w:hAnsi="Arial" w:cs="Arial"/>
          <w:b/>
          <w:color w:val="000000"/>
          <w:kern w:val="2"/>
          <w:sz w:val="28"/>
          <w:szCs w:val="28"/>
          <w:lang w:val="en-US"/>
        </w:rPr>
        <w:t>Net Profit Increased by 9.12%, Asset Quality Remain</w:t>
      </w:r>
      <w:r w:rsidR="00E66557">
        <w:rPr>
          <w:rFonts w:ascii="Arial" w:eastAsia="宋体" w:hAnsi="Arial" w:cs="Arial"/>
          <w:b/>
          <w:color w:val="000000"/>
          <w:kern w:val="2"/>
          <w:sz w:val="28"/>
          <w:szCs w:val="28"/>
          <w:lang w:val="en-US"/>
        </w:rPr>
        <w:t>ed</w:t>
      </w:r>
      <w:r w:rsidRPr="009A017B">
        <w:rPr>
          <w:rFonts w:ascii="Arial" w:eastAsia="宋体" w:hAnsi="Arial" w:cs="Arial"/>
          <w:b/>
          <w:color w:val="000000"/>
          <w:kern w:val="2"/>
          <w:sz w:val="28"/>
          <w:szCs w:val="28"/>
          <w:lang w:val="en-US"/>
        </w:rPr>
        <w:t xml:space="preserve"> Stable </w:t>
      </w:r>
    </w:p>
    <w:p w14:paraId="3DAF75B6" w14:textId="77777777" w:rsidR="00E95C7D" w:rsidRPr="009A017B" w:rsidRDefault="00E95C7D">
      <w:pPr>
        <w:widowControl w:val="0"/>
        <w:spacing w:after="0" w:line="240" w:lineRule="auto"/>
        <w:jc w:val="center"/>
        <w:rPr>
          <w:rFonts w:ascii="Arial" w:eastAsia="宋体" w:hAnsi="Arial" w:cs="Arial"/>
          <w:b/>
          <w:kern w:val="2"/>
          <w:sz w:val="28"/>
          <w:szCs w:val="28"/>
          <w:lang w:val="en-US"/>
        </w:rPr>
      </w:pPr>
    </w:p>
    <w:p w14:paraId="6C4E7CE6" w14:textId="23C08FBB" w:rsidR="00687735" w:rsidRPr="009A017B" w:rsidRDefault="00E95C7D">
      <w:pPr>
        <w:widowControl w:val="0"/>
        <w:spacing w:after="0" w:line="240" w:lineRule="auto"/>
        <w:jc w:val="center"/>
        <w:rPr>
          <w:rFonts w:ascii="Arial" w:eastAsia="宋体" w:hAnsi="Arial" w:cs="Arial"/>
          <w:b/>
          <w:kern w:val="2"/>
          <w:sz w:val="28"/>
          <w:szCs w:val="28"/>
          <w:lang w:val="en-US"/>
        </w:rPr>
      </w:pPr>
      <w:r w:rsidRPr="009A017B">
        <w:rPr>
          <w:rFonts w:ascii="Arial" w:eastAsia="宋体" w:hAnsi="Arial" w:cs="Arial"/>
          <w:b/>
          <w:noProof/>
          <w:kern w:val="2"/>
          <w:sz w:val="23"/>
          <w:szCs w:val="23"/>
          <w:lang w:eastAsia="zh-TW"/>
        </w:rPr>
        <mc:AlternateContent>
          <mc:Choice Requires="wps">
            <w:drawing>
              <wp:anchor distT="0" distB="0" distL="114300" distR="114300" simplePos="0" relativeHeight="251660288" behindDoc="1" locked="0" layoutInCell="1" allowOverlap="1" wp14:anchorId="31B2D229" wp14:editId="0F95C116">
                <wp:simplePos x="0" y="0"/>
                <wp:positionH relativeFrom="column">
                  <wp:posOffset>-106045</wp:posOffset>
                </wp:positionH>
                <wp:positionV relativeFrom="paragraph">
                  <wp:posOffset>172996</wp:posOffset>
                </wp:positionV>
                <wp:extent cx="2355574" cy="333375"/>
                <wp:effectExtent l="0" t="0" r="0" b="0"/>
                <wp:wrapNone/>
                <wp:docPr id="12"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574" cy="333375"/>
                        </a:xfrm>
                        <a:prstGeom prst="roundRect">
                          <a:avLst>
                            <a:gd name="adj" fmla="val 16667"/>
                          </a:avLst>
                        </a:prstGeom>
                        <a:gradFill rotWithShape="0">
                          <a:gsLst>
                            <a:gs pos="0">
                              <a:srgbClr val="FF0000"/>
                            </a:gs>
                            <a:gs pos="100000">
                              <a:srgbClr val="FF0000">
                                <a:gamma/>
                                <a:tint val="20000"/>
                                <a:invGamma/>
                              </a:srgbClr>
                            </a:gs>
                          </a:gsLst>
                          <a:lin ang="2700000" scaled="1"/>
                        </a:gradFill>
                        <a:ln>
                          <a:noFill/>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oundrect w14:anchorId="5AEED9F6" id="Rectangle: Rounded Corners 12" o:spid="_x0000_s1026" style="position:absolute;margin-left:-8.35pt;margin-top:13.6pt;width:185.5pt;height:26.2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" fillcolor="red" stroked="f">
                <v:fill color2="#fcc" angle="45" focus="100%" type="gradient"/>
              </v:roundrect>
            </w:pict>
          </mc:Fallback>
        </mc:AlternateContent>
      </w:r>
    </w:p>
    <w:p w14:paraId="30184D76" w14:textId="1080B7DC" w:rsidR="00E95C7D" w:rsidRPr="009A017B" w:rsidRDefault="0057239A">
      <w:pPr>
        <w:widowControl w:val="0"/>
        <w:spacing w:after="0" w:line="240" w:lineRule="auto"/>
        <w:jc w:val="both"/>
        <w:rPr>
          <w:rFonts w:ascii="Arial" w:eastAsia="宋体" w:hAnsi="Arial" w:cs="Arial"/>
          <w:b/>
          <w:color w:val="FF0000"/>
          <w:kern w:val="2"/>
          <w:sz w:val="23"/>
          <w:szCs w:val="23"/>
          <w:lang w:val="en-US"/>
        </w:rPr>
      </w:pPr>
      <w:r w:rsidRPr="009A017B">
        <w:rPr>
          <w:rFonts w:ascii="Arial" w:eastAsia="宋体" w:hAnsi="Arial" w:cs="Arial"/>
          <w:b/>
          <w:kern w:val="2"/>
          <w:sz w:val="23"/>
          <w:szCs w:val="23"/>
          <w:lang w:val="en-US"/>
        </w:rPr>
        <w:t>202</w:t>
      </w:r>
      <w:r w:rsidR="008016BE" w:rsidRPr="009A017B">
        <w:rPr>
          <w:rFonts w:ascii="Arial" w:eastAsia="宋体" w:hAnsi="Arial" w:cs="Arial"/>
          <w:b/>
          <w:kern w:val="2"/>
          <w:sz w:val="23"/>
          <w:szCs w:val="23"/>
          <w:lang w:val="en-US"/>
        </w:rPr>
        <w:t>3</w:t>
      </w:r>
      <w:r w:rsidRPr="009A017B">
        <w:rPr>
          <w:rFonts w:ascii="Arial" w:eastAsia="宋体" w:hAnsi="Arial" w:cs="Arial"/>
          <w:b/>
          <w:kern w:val="2"/>
          <w:sz w:val="23"/>
          <w:szCs w:val="23"/>
          <w:lang w:val="en-US"/>
        </w:rPr>
        <w:t xml:space="preserve"> Interim Results Highlights</w:t>
      </w:r>
    </w:p>
    <w:p w14:paraId="6EF91645" w14:textId="48BBB5FE" w:rsidR="0057239A" w:rsidRPr="009A017B" w:rsidRDefault="00605527" w:rsidP="0057239A">
      <w:pPr>
        <w:widowControl w:val="0"/>
        <w:pBdr>
          <w:top w:val="single" w:sz="4" w:space="1" w:color="auto"/>
          <w:left w:val="single" w:sz="4" w:space="4" w:color="auto"/>
          <w:bottom w:val="single" w:sz="4" w:space="1" w:color="auto"/>
          <w:right w:val="single" w:sz="4" w:space="13" w:color="auto"/>
        </w:pBdr>
        <w:spacing w:beforeLines="50" w:before="180" w:afterLines="50" w:after="180" w:line="240" w:lineRule="auto"/>
        <w:jc w:val="both"/>
        <w:rPr>
          <w:rFonts w:ascii="Arial" w:eastAsia="宋体" w:hAnsi="Arial" w:cs="Arial"/>
          <w:b/>
          <w:color w:val="000000"/>
          <w:kern w:val="2"/>
          <w:highlight w:val="yellow"/>
          <w:lang w:val="en-US"/>
        </w:rPr>
      </w:pPr>
      <w:r>
        <w:rPr>
          <w:rFonts w:ascii="Arial" w:eastAsia="宋体" w:hAnsi="Arial" w:cs="Arial"/>
          <w:b/>
          <w:color w:val="000000"/>
          <w:kern w:val="2"/>
          <w:lang w:val="en-US"/>
        </w:rPr>
        <w:t>O</w:t>
      </w:r>
      <w:r w:rsidRPr="00605527">
        <w:rPr>
          <w:rFonts w:ascii="Arial" w:eastAsia="宋体" w:hAnsi="Arial" w:cs="Arial"/>
          <w:b/>
          <w:color w:val="000000"/>
          <w:kern w:val="2"/>
          <w:lang w:val="en-US"/>
        </w:rPr>
        <w:t>perating results achieved stable growth with profitability remaining at a high level</w:t>
      </w:r>
    </w:p>
    <w:p w14:paraId="224CA5C4" w14:textId="0B5A8ECF" w:rsidR="000B6881" w:rsidRPr="009A017B" w:rsidRDefault="000B6881" w:rsidP="009A017B">
      <w:pPr>
        <w:widowControl w:val="0"/>
        <w:numPr>
          <w:ilvl w:val="0"/>
          <w:numId w:val="1"/>
        </w:numPr>
        <w:pBdr>
          <w:top w:val="single" w:sz="4" w:space="1" w:color="auto"/>
          <w:left w:val="single" w:sz="4" w:space="4" w:color="auto"/>
          <w:bottom w:val="single" w:sz="4" w:space="1" w:color="auto"/>
          <w:right w:val="single" w:sz="4" w:space="13" w:color="auto"/>
        </w:pBdr>
        <w:spacing w:beforeLines="50" w:before="180" w:afterLines="50" w:after="180" w:line="240" w:lineRule="auto"/>
        <w:jc w:val="both"/>
        <w:rPr>
          <w:rFonts w:ascii="Arial" w:eastAsia="宋体" w:hAnsi="Arial" w:cs="Arial"/>
          <w:lang w:val="en-US"/>
        </w:rPr>
      </w:pPr>
      <w:r w:rsidRPr="009A017B">
        <w:rPr>
          <w:rFonts w:ascii="Arial" w:eastAsia="宋体" w:hAnsi="Arial" w:cs="Arial"/>
          <w:lang w:val="en-US"/>
        </w:rPr>
        <w:t xml:space="preserve">Net profit attributable to shareholders of the Bank was RMB75.752 billion, representing a </w:t>
      </w:r>
      <w:r w:rsidR="00FA34C3" w:rsidRPr="009A017B">
        <w:rPr>
          <w:rFonts w:ascii="Arial" w:eastAsia="宋体" w:hAnsi="Arial" w:cs="Arial"/>
          <w:lang w:val="en-US"/>
        </w:rPr>
        <w:t>year-on-year growth of 9.12%;</w:t>
      </w:r>
    </w:p>
    <w:p w14:paraId="7611B022" w14:textId="4C8E1D7A" w:rsidR="000B6881" w:rsidRPr="009A017B" w:rsidRDefault="000B6881" w:rsidP="0057239A">
      <w:pPr>
        <w:widowControl w:val="0"/>
        <w:numPr>
          <w:ilvl w:val="0"/>
          <w:numId w:val="1"/>
        </w:numPr>
        <w:pBdr>
          <w:top w:val="single" w:sz="4" w:space="1" w:color="auto"/>
          <w:left w:val="single" w:sz="4" w:space="4" w:color="auto"/>
          <w:bottom w:val="single" w:sz="4" w:space="1" w:color="auto"/>
          <w:right w:val="single" w:sz="4" w:space="13" w:color="auto"/>
        </w:pBdr>
        <w:spacing w:beforeLines="50" w:before="180" w:afterLines="50" w:after="180" w:line="240" w:lineRule="auto"/>
        <w:jc w:val="both"/>
        <w:rPr>
          <w:rFonts w:ascii="Arial" w:eastAsia="宋体" w:hAnsi="Arial" w:cs="Arial"/>
          <w:color w:val="000000"/>
          <w:kern w:val="2"/>
          <w:lang w:val="en-US"/>
        </w:rPr>
      </w:pPr>
      <w:r w:rsidRPr="009A017B">
        <w:rPr>
          <w:rFonts w:ascii="Arial" w:eastAsia="宋体" w:hAnsi="Arial" w:cs="Arial"/>
          <w:lang w:val="en-US"/>
        </w:rPr>
        <w:t xml:space="preserve">Net interest income </w:t>
      </w:r>
      <w:r w:rsidR="00FA34C3" w:rsidRPr="009A017B">
        <w:rPr>
          <w:rFonts w:ascii="Arial" w:eastAsia="宋体" w:hAnsi="Arial" w:cs="Arial"/>
          <w:lang w:val="en-US"/>
        </w:rPr>
        <w:t>reached</w:t>
      </w:r>
      <w:r w:rsidRPr="009A017B">
        <w:rPr>
          <w:rFonts w:ascii="Arial" w:eastAsia="宋体" w:hAnsi="Arial" w:cs="Arial"/>
          <w:lang w:val="en-US"/>
        </w:rPr>
        <w:t xml:space="preserve"> RMB1</w:t>
      </w:r>
      <w:r w:rsidR="00FA34C3" w:rsidRPr="009A017B">
        <w:rPr>
          <w:rFonts w:ascii="Arial" w:eastAsia="宋体" w:hAnsi="Arial" w:cs="Arial"/>
          <w:lang w:val="en-US"/>
        </w:rPr>
        <w:t>08</w:t>
      </w:r>
      <w:r w:rsidRPr="009A017B">
        <w:rPr>
          <w:rFonts w:ascii="Arial" w:eastAsia="宋体" w:hAnsi="Arial" w:cs="Arial"/>
          <w:lang w:val="en-US"/>
        </w:rPr>
        <w:t>.</w:t>
      </w:r>
      <w:r w:rsidR="00FA34C3" w:rsidRPr="009A017B">
        <w:rPr>
          <w:rFonts w:ascii="Arial" w:eastAsia="宋体" w:hAnsi="Arial" w:cs="Arial"/>
          <w:lang w:val="en-US"/>
        </w:rPr>
        <w:t>996</w:t>
      </w:r>
      <w:r w:rsidRPr="009A017B">
        <w:rPr>
          <w:rFonts w:ascii="Arial" w:eastAsia="宋体" w:hAnsi="Arial" w:cs="Arial"/>
          <w:lang w:val="en-US"/>
        </w:rPr>
        <w:t xml:space="preserve"> billion</w:t>
      </w:r>
      <w:r w:rsidR="00FA34C3" w:rsidRPr="009A017B">
        <w:rPr>
          <w:rFonts w:ascii="Arial" w:eastAsia="宋体" w:hAnsi="Arial" w:cs="Arial"/>
          <w:color w:val="000000"/>
          <w:kern w:val="2"/>
          <w:lang w:val="en-US"/>
        </w:rPr>
        <w:t>, representing a year-on-year growth of 1.21%;</w:t>
      </w:r>
    </w:p>
    <w:p w14:paraId="116F67ED" w14:textId="18AEE544" w:rsidR="00FA34C3" w:rsidRPr="009A017B" w:rsidRDefault="00FA34C3" w:rsidP="0057239A">
      <w:pPr>
        <w:widowControl w:val="0"/>
        <w:numPr>
          <w:ilvl w:val="0"/>
          <w:numId w:val="1"/>
        </w:numPr>
        <w:pBdr>
          <w:top w:val="single" w:sz="4" w:space="1" w:color="auto"/>
          <w:left w:val="single" w:sz="4" w:space="4" w:color="auto"/>
          <w:bottom w:val="single" w:sz="4" w:space="1" w:color="auto"/>
          <w:right w:val="single" w:sz="4" w:space="13" w:color="auto"/>
        </w:pBdr>
        <w:spacing w:beforeLines="50" w:before="180" w:afterLines="50" w:after="180" w:line="240" w:lineRule="auto"/>
        <w:jc w:val="both"/>
        <w:rPr>
          <w:rFonts w:ascii="Arial" w:eastAsia="宋体" w:hAnsi="Arial" w:cs="Arial"/>
          <w:color w:val="000000"/>
          <w:kern w:val="2"/>
          <w:lang w:val="en-US"/>
        </w:rPr>
      </w:pPr>
      <w:r w:rsidRPr="009A017B">
        <w:rPr>
          <w:rFonts w:ascii="Arial" w:eastAsia="宋体" w:hAnsi="Arial" w:cs="Arial"/>
          <w:color w:val="000000"/>
          <w:kern w:val="2"/>
          <w:lang w:val="en-US"/>
        </w:rPr>
        <w:t>Net operating income was RMB178.465 billion, representing a year-on-year decrease of 0.34%;</w:t>
      </w:r>
    </w:p>
    <w:p w14:paraId="64D836B2" w14:textId="089E27B1" w:rsidR="0057239A" w:rsidRPr="009A017B" w:rsidRDefault="00FA34C3" w:rsidP="0057239A">
      <w:pPr>
        <w:widowControl w:val="0"/>
        <w:numPr>
          <w:ilvl w:val="0"/>
          <w:numId w:val="1"/>
        </w:numPr>
        <w:pBdr>
          <w:top w:val="single" w:sz="4" w:space="1" w:color="auto"/>
          <w:left w:val="single" w:sz="4" w:space="4" w:color="auto"/>
          <w:bottom w:val="single" w:sz="4" w:space="1" w:color="auto"/>
          <w:right w:val="single" w:sz="4" w:space="13" w:color="auto"/>
        </w:pBdr>
        <w:spacing w:beforeLines="50" w:before="180" w:afterLines="50" w:after="180" w:line="240" w:lineRule="auto"/>
        <w:jc w:val="both"/>
        <w:rPr>
          <w:rFonts w:ascii="Arial" w:eastAsia="宋体" w:hAnsi="Arial" w:cs="Arial"/>
          <w:color w:val="000000"/>
          <w:kern w:val="2"/>
          <w:lang w:val="en-US"/>
        </w:rPr>
      </w:pPr>
      <w:r w:rsidRPr="009A017B">
        <w:rPr>
          <w:rFonts w:ascii="Arial" w:eastAsia="宋体" w:hAnsi="Arial" w:cs="Arial"/>
          <w:szCs w:val="23"/>
          <w:lang w:val="en-US"/>
        </w:rPr>
        <w:t>ROAA and ROAE were 1.45% and 17.55</w:t>
      </w:r>
      <w:r w:rsidR="00E66557">
        <w:rPr>
          <w:rFonts w:ascii="Arial" w:eastAsia="宋体" w:hAnsi="Arial" w:cs="Arial"/>
          <w:szCs w:val="23"/>
          <w:lang w:val="en-US"/>
        </w:rPr>
        <w:t>%</w:t>
      </w:r>
      <w:r w:rsidRPr="009A017B">
        <w:rPr>
          <w:rFonts w:ascii="Arial" w:eastAsia="宋体" w:hAnsi="Arial" w:cs="Arial"/>
          <w:szCs w:val="23"/>
          <w:lang w:val="en-US"/>
        </w:rPr>
        <w:t xml:space="preserve">, down by 0.01 percentage point and 0.52 percentage point year-on-year, respectively, </w:t>
      </w:r>
      <w:r w:rsidR="00A85FAD" w:rsidRPr="009A017B">
        <w:rPr>
          <w:rFonts w:ascii="Arial" w:eastAsia="宋体" w:hAnsi="Arial" w:cs="Arial"/>
          <w:szCs w:val="23"/>
          <w:lang w:val="en-US"/>
        </w:rPr>
        <w:t xml:space="preserve">remaining at </w:t>
      </w:r>
      <w:r w:rsidRPr="009A017B">
        <w:rPr>
          <w:rFonts w:ascii="Arial" w:eastAsia="宋体" w:hAnsi="Arial" w:cs="Arial"/>
          <w:szCs w:val="23"/>
          <w:lang w:val="en-US"/>
        </w:rPr>
        <w:t>a high level</w:t>
      </w:r>
      <w:r w:rsidR="0057239A" w:rsidRPr="009A017B">
        <w:rPr>
          <w:rFonts w:ascii="Arial" w:eastAsia="宋体" w:hAnsi="Arial" w:cs="Arial"/>
          <w:szCs w:val="23"/>
          <w:lang w:val="en-US"/>
        </w:rPr>
        <w:t>;</w:t>
      </w:r>
    </w:p>
    <w:p w14:paraId="018A651D" w14:textId="452356A8" w:rsidR="0057239A" w:rsidRPr="009A017B" w:rsidRDefault="005C4505" w:rsidP="0057239A">
      <w:pPr>
        <w:widowControl w:val="0"/>
        <w:pBdr>
          <w:top w:val="single" w:sz="4" w:space="1" w:color="auto"/>
          <w:left w:val="single" w:sz="4" w:space="4" w:color="auto"/>
          <w:bottom w:val="single" w:sz="4" w:space="1" w:color="auto"/>
          <w:right w:val="single" w:sz="4" w:space="13" w:color="auto"/>
        </w:pBdr>
        <w:spacing w:beforeLines="50" w:before="180" w:afterLines="50" w:after="180" w:line="240" w:lineRule="auto"/>
        <w:jc w:val="both"/>
        <w:rPr>
          <w:rFonts w:ascii="Arial" w:eastAsia="宋体" w:hAnsi="Arial" w:cs="Arial"/>
          <w:b/>
          <w:color w:val="000000"/>
          <w:kern w:val="2"/>
          <w:highlight w:val="yellow"/>
          <w:lang w:val="en-US"/>
        </w:rPr>
      </w:pPr>
      <w:r w:rsidRPr="009A017B">
        <w:rPr>
          <w:rFonts w:ascii="Arial" w:eastAsia="宋体" w:hAnsi="Arial" w:cs="Arial"/>
          <w:b/>
          <w:color w:val="000000"/>
          <w:kern w:val="2"/>
          <w:lang w:val="en-US"/>
        </w:rPr>
        <w:t xml:space="preserve">Asset </w:t>
      </w:r>
      <w:r w:rsidR="00605527" w:rsidRPr="00605527">
        <w:rPr>
          <w:rFonts w:ascii="Arial" w:eastAsia="宋体" w:hAnsi="Arial" w:cs="Arial"/>
          <w:b/>
          <w:color w:val="000000"/>
          <w:kern w:val="2"/>
          <w:lang w:val="en-US"/>
        </w:rPr>
        <w:t>quality remained stable with strong risk compensation capacity</w:t>
      </w:r>
    </w:p>
    <w:p w14:paraId="1C6E841B" w14:textId="0D7AE4A2" w:rsidR="00A85FAD" w:rsidRPr="009A017B" w:rsidRDefault="00A85FAD" w:rsidP="0057239A">
      <w:pPr>
        <w:widowControl w:val="0"/>
        <w:numPr>
          <w:ilvl w:val="0"/>
          <w:numId w:val="2"/>
        </w:numPr>
        <w:pBdr>
          <w:top w:val="single" w:sz="4" w:space="1" w:color="auto"/>
          <w:left w:val="single" w:sz="4" w:space="4" w:color="auto"/>
          <w:bottom w:val="single" w:sz="4" w:space="1" w:color="auto"/>
          <w:right w:val="single" w:sz="4" w:space="13" w:color="auto"/>
        </w:pBdr>
        <w:tabs>
          <w:tab w:val="num" w:pos="420"/>
        </w:tabs>
        <w:spacing w:beforeLines="50" w:before="180" w:afterLines="50" w:after="180" w:line="240" w:lineRule="auto"/>
        <w:jc w:val="both"/>
        <w:rPr>
          <w:rFonts w:ascii="Arial" w:eastAsia="宋体" w:hAnsi="Arial" w:cs="Arial"/>
          <w:color w:val="000000"/>
          <w:kern w:val="2"/>
          <w:lang w:val="en-US"/>
        </w:rPr>
      </w:pPr>
      <w:r w:rsidRPr="009A017B">
        <w:rPr>
          <w:rFonts w:ascii="Arial" w:eastAsia="宋体" w:hAnsi="Arial" w:cs="Arial"/>
          <w:color w:val="000000"/>
          <w:kern w:val="2"/>
          <w:lang w:val="en-US"/>
        </w:rPr>
        <w:t>Non-performing loan ratio was 0.95%, representing a decrease of 0.01 percentage point as compared with the end of the previous year, maintaining at a relatively low level;</w:t>
      </w:r>
      <w:r w:rsidRPr="009A017B">
        <w:rPr>
          <w:rFonts w:ascii="Arial" w:eastAsia="宋体" w:hAnsi="Arial" w:cs="Arial"/>
          <w:lang w:val="en-HK"/>
        </w:rPr>
        <w:t xml:space="preserve"> </w:t>
      </w:r>
    </w:p>
    <w:p w14:paraId="3555C0C2" w14:textId="06C900FF" w:rsidR="0057239A" w:rsidRPr="009A017B" w:rsidRDefault="00A85FAD" w:rsidP="0057239A">
      <w:pPr>
        <w:widowControl w:val="0"/>
        <w:numPr>
          <w:ilvl w:val="0"/>
          <w:numId w:val="2"/>
        </w:numPr>
        <w:pBdr>
          <w:top w:val="single" w:sz="4" w:space="1" w:color="auto"/>
          <w:left w:val="single" w:sz="4" w:space="4" w:color="auto"/>
          <w:bottom w:val="single" w:sz="4" w:space="1" w:color="auto"/>
          <w:right w:val="single" w:sz="4" w:space="13" w:color="auto"/>
        </w:pBdr>
        <w:tabs>
          <w:tab w:val="num" w:pos="420"/>
        </w:tabs>
        <w:spacing w:beforeLines="50" w:before="180" w:afterLines="50" w:after="180" w:line="240" w:lineRule="auto"/>
        <w:jc w:val="both"/>
        <w:rPr>
          <w:rFonts w:ascii="Arial" w:eastAsia="宋体" w:hAnsi="Arial" w:cs="Arial"/>
          <w:color w:val="000000"/>
          <w:kern w:val="2"/>
          <w:lang w:val="en-US"/>
        </w:rPr>
      </w:pPr>
      <w:r w:rsidRPr="009A017B">
        <w:rPr>
          <w:rFonts w:ascii="Arial" w:eastAsia="宋体" w:hAnsi="Arial" w:cs="Arial"/>
          <w:color w:val="000000"/>
          <w:kern w:val="2"/>
          <w:lang w:val="en-US"/>
        </w:rPr>
        <w:t>Allowance coverage ratio was 447.63%, representing a decrease of 3.16 percentage points as compared with the end of the previous year; the allowance-to-loan ratio was 4.27%, representing a decrease of 0.05 percentage point as compared with the end of the previous year, maintaining at a relatively high level.</w:t>
      </w:r>
    </w:p>
    <w:p w14:paraId="7EE3D1BF" w14:textId="2215E93E" w:rsidR="0057239A" w:rsidRPr="009A017B" w:rsidRDefault="0059662B" w:rsidP="0057239A">
      <w:pPr>
        <w:widowControl w:val="0"/>
        <w:pBdr>
          <w:top w:val="single" w:sz="4" w:space="1" w:color="auto"/>
          <w:left w:val="single" w:sz="4" w:space="4" w:color="auto"/>
          <w:bottom w:val="single" w:sz="4" w:space="1" w:color="auto"/>
          <w:right w:val="single" w:sz="4" w:space="13" w:color="auto"/>
        </w:pBdr>
        <w:spacing w:beforeLines="50" w:before="180" w:afterLines="50" w:after="180" w:line="240" w:lineRule="auto"/>
        <w:jc w:val="both"/>
        <w:rPr>
          <w:rFonts w:ascii="Arial" w:eastAsia="宋体" w:hAnsi="Arial" w:cs="Arial"/>
          <w:b/>
          <w:color w:val="000000"/>
          <w:kern w:val="2"/>
          <w:lang w:val="en-HK"/>
        </w:rPr>
      </w:pPr>
      <w:r w:rsidRPr="0059662B">
        <w:rPr>
          <w:rFonts w:ascii="Arial" w:eastAsia="宋体" w:hAnsi="Arial" w:cs="Arial"/>
          <w:b/>
          <w:color w:val="000000"/>
          <w:kern w:val="2"/>
          <w:lang w:val="en-US"/>
        </w:rPr>
        <w:t>Solid asset origination carried out and strength in liabilities sustained</w:t>
      </w:r>
    </w:p>
    <w:p w14:paraId="04F28241" w14:textId="35D8E765" w:rsidR="0057239A" w:rsidRPr="006468D7" w:rsidRDefault="00D47C41" w:rsidP="0057239A">
      <w:pPr>
        <w:widowControl w:val="0"/>
        <w:numPr>
          <w:ilvl w:val="0"/>
          <w:numId w:val="3"/>
        </w:numPr>
        <w:pBdr>
          <w:top w:val="single" w:sz="4" w:space="1" w:color="auto"/>
          <w:left w:val="single" w:sz="4" w:space="4" w:color="auto"/>
          <w:bottom w:val="single" w:sz="4" w:space="1" w:color="auto"/>
          <w:right w:val="single" w:sz="4" w:space="13" w:color="auto"/>
        </w:pBdr>
        <w:tabs>
          <w:tab w:val="num" w:pos="420"/>
        </w:tabs>
        <w:spacing w:beforeLines="50" w:before="180" w:afterLines="50" w:after="180" w:line="240" w:lineRule="auto"/>
        <w:jc w:val="both"/>
        <w:rPr>
          <w:rFonts w:ascii="Arial" w:eastAsia="宋体" w:hAnsi="Arial" w:cs="Arial"/>
          <w:kern w:val="2"/>
          <w:lang w:val="en-US"/>
        </w:rPr>
      </w:pPr>
      <w:r w:rsidRPr="00E44EBF">
        <w:rPr>
          <w:rFonts w:ascii="Arial" w:eastAsia="宋体" w:hAnsi="Arial" w:cs="Arial"/>
          <w:kern w:val="2"/>
          <w:lang w:val="en-US"/>
        </w:rPr>
        <w:t>T</w:t>
      </w:r>
      <w:r w:rsidR="00A85FAD" w:rsidRPr="00E44EBF">
        <w:rPr>
          <w:rFonts w:ascii="Arial" w:eastAsia="宋体" w:hAnsi="Arial" w:cs="Arial"/>
          <w:kern w:val="2"/>
          <w:lang w:val="en-US"/>
        </w:rPr>
        <w:t xml:space="preserve">otal assets amounted to RMB10,739.836 billion, representing an increase of 5.93% as compared with the end of the previous year. The total loans and advances to customers amounted to RMB6,355.439 billion, representing an increase of 5.02% as compared with the end of the previous year. </w:t>
      </w:r>
      <w:r w:rsidRPr="00E44EBF">
        <w:rPr>
          <w:rFonts w:ascii="Arial" w:eastAsia="宋体" w:hAnsi="Arial" w:cs="Arial"/>
          <w:kern w:val="2"/>
          <w:lang w:val="en-US"/>
        </w:rPr>
        <w:t xml:space="preserve">Total bond investment amounted to </w:t>
      </w:r>
      <w:r w:rsidRPr="006468D7">
        <w:rPr>
          <w:rFonts w:ascii="Arial" w:eastAsia="宋体" w:hAnsi="Arial" w:cs="Arial"/>
          <w:kern w:val="2"/>
          <w:lang w:val="en-US"/>
        </w:rPr>
        <w:t>2,67</w:t>
      </w:r>
      <w:r w:rsidR="00E66557" w:rsidRPr="006468D7">
        <w:rPr>
          <w:rFonts w:ascii="Arial" w:eastAsia="宋体" w:hAnsi="Arial" w:cs="Arial"/>
          <w:kern w:val="2"/>
          <w:lang w:val="en-US"/>
        </w:rPr>
        <w:t>3</w:t>
      </w:r>
      <w:r w:rsidRPr="006468D7">
        <w:rPr>
          <w:rFonts w:ascii="Arial" w:eastAsia="宋体" w:hAnsi="Arial" w:cs="Arial"/>
          <w:kern w:val="2"/>
          <w:lang w:val="en-US"/>
        </w:rPr>
        <w:t xml:space="preserve"> billion, </w:t>
      </w:r>
      <w:r w:rsidRPr="00E44EBF">
        <w:rPr>
          <w:rFonts w:ascii="Arial" w:eastAsia="宋体" w:hAnsi="Arial" w:cs="Arial"/>
          <w:kern w:val="2"/>
          <w:lang w:val="en-US"/>
        </w:rPr>
        <w:t>representing an increase of 9.62% as compared with the end of the previous year;</w:t>
      </w:r>
    </w:p>
    <w:p w14:paraId="667BA072" w14:textId="2424DCB5" w:rsidR="0057239A" w:rsidRPr="00D26FD8" w:rsidRDefault="00D47C41" w:rsidP="0057239A">
      <w:pPr>
        <w:widowControl w:val="0"/>
        <w:numPr>
          <w:ilvl w:val="0"/>
          <w:numId w:val="3"/>
        </w:numPr>
        <w:pBdr>
          <w:top w:val="single" w:sz="4" w:space="1" w:color="auto"/>
          <w:left w:val="single" w:sz="4" w:space="4" w:color="auto"/>
          <w:bottom w:val="single" w:sz="4" w:space="1" w:color="auto"/>
          <w:right w:val="single" w:sz="4" w:space="13" w:color="auto"/>
        </w:pBdr>
        <w:tabs>
          <w:tab w:val="num" w:pos="420"/>
        </w:tabs>
        <w:spacing w:beforeLines="50" w:before="180" w:afterLines="50" w:after="180" w:line="240" w:lineRule="auto"/>
        <w:jc w:val="both"/>
        <w:rPr>
          <w:rFonts w:ascii="Arial" w:eastAsia="宋体" w:hAnsi="Arial" w:cs="Arial"/>
          <w:kern w:val="2"/>
          <w:lang w:val="en-US"/>
        </w:rPr>
      </w:pPr>
      <w:r w:rsidRPr="00C63043">
        <w:rPr>
          <w:rFonts w:ascii="Arial" w:eastAsia="宋体" w:hAnsi="Arial" w:cs="Arial"/>
          <w:kern w:val="2"/>
          <w:lang w:val="en-US"/>
        </w:rPr>
        <w:t>Total liabilities amounted to RMB9,753.923 billion, representing an increase of 6.20% as compared with the end of the previous year. Total deposits from customers amounted to RMB8,030.232 billion, representing an increase of 6.56% as compared with the end of the previous year. Average daily balance of core deposits was RMB6,560.759 billion, representing an increase of 12.00% as compared with the end of the previous year.</w:t>
      </w:r>
    </w:p>
    <w:p w14:paraId="27C4D13D" w14:textId="64D736B8" w:rsidR="00D47C41" w:rsidRPr="009A017B" w:rsidRDefault="0059662B" w:rsidP="00D47C41">
      <w:pPr>
        <w:widowControl w:val="0"/>
        <w:pBdr>
          <w:top w:val="single" w:sz="4" w:space="1" w:color="auto"/>
          <w:left w:val="single" w:sz="4" w:space="4" w:color="auto"/>
          <w:bottom w:val="single" w:sz="4" w:space="1" w:color="auto"/>
          <w:right w:val="single" w:sz="4" w:space="13" w:color="auto"/>
        </w:pBdr>
        <w:spacing w:beforeLines="50" w:before="180" w:afterLines="50" w:after="180" w:line="240" w:lineRule="auto"/>
        <w:jc w:val="both"/>
        <w:rPr>
          <w:rFonts w:ascii="Arial" w:eastAsia="宋体" w:hAnsi="Arial" w:cs="Arial"/>
          <w:b/>
          <w:color w:val="000000"/>
          <w:kern w:val="2"/>
          <w:highlight w:val="yellow"/>
          <w:lang w:val="en-HK"/>
        </w:rPr>
      </w:pPr>
      <w:r w:rsidRPr="0059662B">
        <w:rPr>
          <w:rFonts w:ascii="Arial" w:eastAsia="宋体" w:hAnsi="Arial" w:cs="Arial"/>
          <w:b/>
          <w:color w:val="000000"/>
          <w:kern w:val="2"/>
          <w:lang w:val="en-US"/>
        </w:rPr>
        <w:lastRenderedPageBreak/>
        <w:t>Continued optimization of business mix and sustained resilience of non-interest income</w:t>
      </w:r>
    </w:p>
    <w:p w14:paraId="7EBA4B07" w14:textId="2870981B" w:rsidR="00605527" w:rsidRPr="009A017B" w:rsidRDefault="00845F8E" w:rsidP="00605527">
      <w:pPr>
        <w:widowControl w:val="0"/>
        <w:numPr>
          <w:ilvl w:val="0"/>
          <w:numId w:val="3"/>
        </w:numPr>
        <w:pBdr>
          <w:top w:val="single" w:sz="4" w:space="1" w:color="auto"/>
          <w:left w:val="single" w:sz="4" w:space="4" w:color="auto"/>
          <w:bottom w:val="single" w:sz="4" w:space="1" w:color="auto"/>
          <w:right w:val="single" w:sz="4" w:space="13" w:color="auto"/>
        </w:pBdr>
        <w:spacing w:beforeLines="50" w:before="180" w:afterLines="50" w:after="180" w:line="240" w:lineRule="auto"/>
        <w:jc w:val="both"/>
        <w:rPr>
          <w:rFonts w:ascii="Arial" w:eastAsia="宋体" w:hAnsi="Arial" w:cs="Arial"/>
          <w:kern w:val="2"/>
          <w:lang w:val="en-US"/>
        </w:rPr>
      </w:pPr>
      <w:r>
        <w:rPr>
          <w:rFonts w:ascii="Arial" w:eastAsia="宋体" w:hAnsi="Arial" w:cs="Arial"/>
          <w:kern w:val="2"/>
          <w:lang w:val="en-US"/>
        </w:rPr>
        <w:t>P</w:t>
      </w:r>
      <w:r w:rsidR="00605527" w:rsidRPr="00605527">
        <w:rPr>
          <w:rFonts w:ascii="Arial" w:eastAsia="宋体" w:hAnsi="Arial" w:cs="Arial"/>
          <w:kern w:val="2"/>
          <w:lang w:val="en-US"/>
        </w:rPr>
        <w:t>rofit before tax of retail finance business of the Group amounted to RMB51.780</w:t>
      </w:r>
      <w:r w:rsidR="00110D9B">
        <w:rPr>
          <w:rFonts w:ascii="Arial" w:eastAsia="宋体" w:hAnsi="Arial" w:cs="Arial"/>
          <w:kern w:val="2"/>
          <w:lang w:val="en-US"/>
        </w:rPr>
        <w:t xml:space="preserve"> </w:t>
      </w:r>
      <w:r w:rsidR="00605527" w:rsidRPr="00605527">
        <w:rPr>
          <w:rFonts w:ascii="Arial" w:eastAsia="宋体" w:hAnsi="Arial" w:cs="Arial"/>
          <w:kern w:val="2"/>
          <w:lang w:val="en-US"/>
        </w:rPr>
        <w:t>billion, up by 11.59% year-on-year, accounting for 56.97% of the profit before tax of the Group, representing</w:t>
      </w:r>
      <w:r>
        <w:rPr>
          <w:rFonts w:ascii="Arial" w:eastAsia="宋体" w:hAnsi="Arial" w:cs="Arial"/>
          <w:kern w:val="2"/>
          <w:lang w:val="en-US"/>
        </w:rPr>
        <w:t xml:space="preserve"> </w:t>
      </w:r>
      <w:r w:rsidR="00605527" w:rsidRPr="00605527">
        <w:rPr>
          <w:rFonts w:ascii="Arial" w:eastAsia="宋体" w:hAnsi="Arial" w:cs="Arial"/>
          <w:kern w:val="2"/>
          <w:lang w:val="en-US"/>
        </w:rPr>
        <w:t>a year-on-year increase of 1.48 percentage points; net operating income amounted to RMB98.959 billion, up by</w:t>
      </w:r>
      <w:r>
        <w:rPr>
          <w:rFonts w:ascii="Arial" w:eastAsia="宋体" w:hAnsi="Arial" w:cs="Arial"/>
          <w:kern w:val="2"/>
          <w:lang w:val="en-US"/>
        </w:rPr>
        <w:t xml:space="preserve"> </w:t>
      </w:r>
      <w:r w:rsidR="00605527" w:rsidRPr="00605527">
        <w:rPr>
          <w:rFonts w:ascii="Arial" w:eastAsia="宋体" w:hAnsi="Arial" w:cs="Arial"/>
          <w:kern w:val="2"/>
          <w:lang w:val="en-US"/>
        </w:rPr>
        <w:t>1.42% year-on-year, accounting for 55.45% of the net operating income of the Group, representing a year-on-year</w:t>
      </w:r>
      <w:r>
        <w:rPr>
          <w:rFonts w:ascii="Arial" w:eastAsia="宋体" w:hAnsi="Arial" w:cs="Arial"/>
          <w:kern w:val="2"/>
          <w:lang w:val="en-US"/>
        </w:rPr>
        <w:t xml:space="preserve"> </w:t>
      </w:r>
      <w:r w:rsidR="00605527" w:rsidRPr="00605527">
        <w:rPr>
          <w:rFonts w:ascii="Arial" w:eastAsia="宋体" w:hAnsi="Arial" w:cs="Arial"/>
          <w:kern w:val="2"/>
          <w:lang w:val="en-US"/>
        </w:rPr>
        <w:t>increase of 0.96 percentage point.</w:t>
      </w:r>
    </w:p>
    <w:p w14:paraId="27D632C0" w14:textId="7B6234D3" w:rsidR="00D47C41" w:rsidRPr="009A017B" w:rsidRDefault="008056EB" w:rsidP="00D47C41">
      <w:pPr>
        <w:widowControl w:val="0"/>
        <w:numPr>
          <w:ilvl w:val="0"/>
          <w:numId w:val="3"/>
        </w:numPr>
        <w:pBdr>
          <w:top w:val="single" w:sz="4" w:space="1" w:color="auto"/>
          <w:left w:val="single" w:sz="4" w:space="4" w:color="auto"/>
          <w:bottom w:val="single" w:sz="4" w:space="1" w:color="auto"/>
          <w:right w:val="single" w:sz="4" w:space="13" w:color="auto"/>
        </w:pBdr>
        <w:tabs>
          <w:tab w:val="num" w:pos="420"/>
        </w:tabs>
        <w:spacing w:beforeLines="50" w:before="180" w:afterLines="50" w:after="180" w:line="240" w:lineRule="auto"/>
        <w:jc w:val="both"/>
        <w:rPr>
          <w:rFonts w:ascii="Arial" w:eastAsia="宋体" w:hAnsi="Arial" w:cs="Arial"/>
          <w:kern w:val="2"/>
          <w:lang w:val="en-US"/>
        </w:rPr>
      </w:pPr>
      <w:r w:rsidRPr="009A017B">
        <w:rPr>
          <w:rFonts w:ascii="Arial" w:eastAsia="宋体" w:hAnsi="Arial" w:cs="Arial"/>
          <w:kern w:val="2"/>
          <w:lang w:val="en-US"/>
        </w:rPr>
        <w:t>Net non-interest income was RMB69.469 billion, accounting for 38.93% of net operating income, maintaining at a relatively high level;</w:t>
      </w:r>
    </w:p>
    <w:p w14:paraId="5E2BE955" w14:textId="3B6F8539" w:rsidR="00D47C41" w:rsidRPr="009A017B" w:rsidRDefault="004A59EA" w:rsidP="0057239A">
      <w:pPr>
        <w:widowControl w:val="0"/>
        <w:numPr>
          <w:ilvl w:val="0"/>
          <w:numId w:val="3"/>
        </w:numPr>
        <w:pBdr>
          <w:top w:val="single" w:sz="4" w:space="1" w:color="auto"/>
          <w:left w:val="single" w:sz="4" w:space="4" w:color="auto"/>
          <w:bottom w:val="single" w:sz="4" w:space="1" w:color="auto"/>
          <w:right w:val="single" w:sz="4" w:space="13" w:color="auto"/>
        </w:pBdr>
        <w:tabs>
          <w:tab w:val="num" w:pos="420"/>
        </w:tabs>
        <w:spacing w:beforeLines="50" w:before="180" w:afterLines="50" w:after="180" w:line="240" w:lineRule="auto"/>
        <w:jc w:val="both"/>
        <w:rPr>
          <w:rFonts w:ascii="Arial" w:eastAsia="宋体" w:hAnsi="Arial" w:cs="Arial"/>
          <w:kern w:val="2"/>
          <w:lang w:val="en-US"/>
        </w:rPr>
      </w:pPr>
      <w:r>
        <w:rPr>
          <w:rFonts w:ascii="Arial" w:eastAsia="宋体" w:hAnsi="Arial" w:cs="Arial"/>
          <w:kern w:val="2"/>
          <w:lang w:val="en-US"/>
        </w:rPr>
        <w:t xml:space="preserve">Revenue contributed by </w:t>
      </w:r>
      <w:r>
        <w:rPr>
          <w:rFonts w:ascii="Arial" w:eastAsia="宋体" w:hAnsi="Arial" w:cs="Arial" w:hint="eastAsia"/>
          <w:kern w:val="2"/>
          <w:lang w:val="en-US"/>
        </w:rPr>
        <w:t>e</w:t>
      </w:r>
      <w:r w:rsidR="008056EB" w:rsidRPr="009A017B">
        <w:rPr>
          <w:rFonts w:ascii="Arial" w:eastAsia="宋体" w:hAnsi="Arial" w:cs="Arial"/>
          <w:kern w:val="2"/>
          <w:lang w:val="en-US"/>
        </w:rPr>
        <w:t>xtensive wealth management</w:t>
      </w:r>
      <w:r w:rsidR="005C4505" w:rsidRPr="009A017B">
        <w:rPr>
          <w:rFonts w:ascii="Arial" w:eastAsia="宋体" w:hAnsi="Arial" w:cs="Arial"/>
          <w:kern w:val="2"/>
          <w:lang w:val="en-US"/>
        </w:rPr>
        <w:t xml:space="preserve"> </w:t>
      </w:r>
      <w:r w:rsidR="008056EB" w:rsidRPr="009A017B">
        <w:rPr>
          <w:rFonts w:ascii="Arial" w:eastAsia="宋体" w:hAnsi="Arial" w:cs="Arial"/>
          <w:kern w:val="2"/>
          <w:lang w:val="en-US"/>
        </w:rPr>
        <w:t>was</w:t>
      </w:r>
      <w:r w:rsidR="005C4505" w:rsidRPr="009A017B">
        <w:rPr>
          <w:rFonts w:ascii="Arial" w:eastAsia="宋体" w:hAnsi="Arial" w:cs="Arial"/>
          <w:kern w:val="2"/>
          <w:lang w:val="en-US"/>
        </w:rPr>
        <w:t xml:space="preserve"> RMB25.846 billion, accounting for 14.48% of the net operating </w:t>
      </w:r>
      <w:r w:rsidR="005C4505" w:rsidRPr="00327ED6">
        <w:rPr>
          <w:rFonts w:ascii="Arial" w:eastAsia="宋体" w:hAnsi="Arial" w:cs="Arial"/>
          <w:kern w:val="2"/>
          <w:lang w:val="en-US"/>
        </w:rPr>
        <w:t>income, upholding the resilience</w:t>
      </w:r>
      <w:r w:rsidR="005C4505" w:rsidRPr="009A017B">
        <w:rPr>
          <w:rFonts w:ascii="Arial" w:eastAsia="宋体" w:hAnsi="Arial" w:cs="Arial"/>
          <w:kern w:val="2"/>
          <w:lang w:val="en-US"/>
        </w:rPr>
        <w:t xml:space="preserve">. </w:t>
      </w:r>
      <w:r w:rsidR="008056EB" w:rsidRPr="009A017B">
        <w:rPr>
          <w:rFonts w:ascii="Arial" w:eastAsia="宋体" w:hAnsi="Arial" w:cs="Arial"/>
          <w:kern w:val="2"/>
          <w:lang w:val="en-US"/>
        </w:rPr>
        <w:t xml:space="preserve"> </w:t>
      </w:r>
    </w:p>
    <w:p w14:paraId="045D2CE1" w14:textId="77777777" w:rsidR="0057239A" w:rsidRPr="009A017B" w:rsidRDefault="0057239A" w:rsidP="0057239A">
      <w:pPr>
        <w:widowControl w:val="0"/>
        <w:spacing w:after="0" w:line="240" w:lineRule="auto"/>
        <w:jc w:val="both"/>
        <w:rPr>
          <w:rFonts w:ascii="Arial" w:eastAsia="宋体" w:hAnsi="Arial" w:cs="Arial"/>
          <w:i/>
          <w:kern w:val="2"/>
          <w:sz w:val="18"/>
          <w:szCs w:val="18"/>
          <w:lang w:val="en-US"/>
        </w:rPr>
      </w:pPr>
      <w:r w:rsidRPr="009A017B">
        <w:rPr>
          <w:rFonts w:ascii="Arial" w:eastAsia="宋体" w:hAnsi="Arial" w:cs="Arial"/>
          <w:i/>
          <w:kern w:val="2"/>
          <w:sz w:val="18"/>
          <w:szCs w:val="18"/>
          <w:lang w:val="en-US"/>
        </w:rPr>
        <w:t>Note1: Unless stated otherwise, all of the above data belong to the Group and denominated in RMB.</w:t>
      </w:r>
    </w:p>
    <w:p w14:paraId="058F61AC" w14:textId="77777777" w:rsidR="0057239A" w:rsidRPr="009A017B" w:rsidRDefault="0057239A" w:rsidP="0057239A">
      <w:pPr>
        <w:widowControl w:val="0"/>
        <w:spacing w:after="0" w:line="240" w:lineRule="auto"/>
        <w:jc w:val="both"/>
        <w:rPr>
          <w:rFonts w:ascii="Arial" w:eastAsia="宋体" w:hAnsi="Arial" w:cs="Arial"/>
          <w:i/>
          <w:kern w:val="2"/>
          <w:sz w:val="18"/>
          <w:szCs w:val="18"/>
          <w:lang w:val="en-US"/>
        </w:rPr>
      </w:pPr>
      <w:r w:rsidRPr="009A017B">
        <w:rPr>
          <w:rFonts w:ascii="Arial" w:eastAsia="宋体" w:hAnsi="Arial" w:cs="Arial"/>
          <w:i/>
          <w:kern w:val="2"/>
          <w:sz w:val="18"/>
          <w:szCs w:val="18"/>
          <w:lang w:val="en-US"/>
        </w:rPr>
        <w:t xml:space="preserve">Note2: All financial information set out in </w:t>
      </w:r>
      <w:proofErr w:type="gramStart"/>
      <w:r w:rsidRPr="009A017B">
        <w:rPr>
          <w:rFonts w:ascii="Arial" w:eastAsia="宋体" w:hAnsi="Arial" w:cs="Arial"/>
          <w:i/>
          <w:kern w:val="2"/>
          <w:sz w:val="18"/>
          <w:szCs w:val="18"/>
          <w:lang w:val="en-US"/>
        </w:rPr>
        <w:t>this interim results</w:t>
      </w:r>
      <w:proofErr w:type="gramEnd"/>
      <w:r w:rsidRPr="009A017B">
        <w:rPr>
          <w:rFonts w:ascii="Arial" w:eastAsia="宋体" w:hAnsi="Arial" w:cs="Arial"/>
          <w:i/>
          <w:kern w:val="2"/>
          <w:sz w:val="18"/>
          <w:szCs w:val="18"/>
          <w:lang w:val="en-US"/>
        </w:rPr>
        <w:t xml:space="preserve"> press release is unaudited and prepared in accordance with the International Financial Reporting Standards</w:t>
      </w:r>
    </w:p>
    <w:p w14:paraId="1F54DAB1" w14:textId="77777777" w:rsidR="00687735" w:rsidRPr="009A017B" w:rsidRDefault="00687735">
      <w:pPr>
        <w:widowControl w:val="0"/>
        <w:spacing w:after="0" w:line="240" w:lineRule="auto"/>
        <w:jc w:val="both"/>
        <w:rPr>
          <w:rFonts w:ascii="Arial" w:eastAsia="宋体" w:hAnsi="Arial" w:cs="Arial"/>
          <w:kern w:val="2"/>
          <w:sz w:val="23"/>
          <w:szCs w:val="23"/>
          <w:lang w:val="en-US"/>
        </w:rPr>
      </w:pPr>
    </w:p>
    <w:p w14:paraId="187C8978" w14:textId="1FDF9E43" w:rsidR="00ED21A7" w:rsidRPr="009A017B" w:rsidRDefault="00146BBA" w:rsidP="00ED21A7">
      <w:pPr>
        <w:widowControl w:val="0"/>
        <w:spacing w:after="0" w:line="240" w:lineRule="auto"/>
        <w:jc w:val="both"/>
        <w:rPr>
          <w:rFonts w:ascii="Arial" w:eastAsia="宋体" w:hAnsi="Arial" w:cs="Arial"/>
          <w:kern w:val="2"/>
          <w:sz w:val="23"/>
          <w:szCs w:val="23"/>
          <w:lang w:val="en-US"/>
        </w:rPr>
      </w:pPr>
      <w:r w:rsidRPr="009A017B">
        <w:rPr>
          <w:rFonts w:ascii="Arial" w:eastAsia="宋体" w:hAnsi="Arial" w:cs="Arial"/>
          <w:kern w:val="2"/>
          <w:sz w:val="23"/>
          <w:szCs w:val="23"/>
          <w:lang w:val="en-US"/>
        </w:rPr>
        <w:t xml:space="preserve">25 </w:t>
      </w:r>
      <w:r w:rsidR="00ED21A7" w:rsidRPr="009A017B">
        <w:rPr>
          <w:rFonts w:ascii="Arial" w:eastAsia="宋体" w:hAnsi="Arial" w:cs="Arial"/>
          <w:kern w:val="2"/>
          <w:sz w:val="23"/>
          <w:szCs w:val="23"/>
          <w:lang w:val="en-US"/>
        </w:rPr>
        <w:t xml:space="preserve">August, </w:t>
      </w:r>
      <w:r w:rsidR="000B6881" w:rsidRPr="009A017B">
        <w:rPr>
          <w:rFonts w:ascii="Arial" w:eastAsia="宋体" w:hAnsi="Arial" w:cs="Arial"/>
          <w:kern w:val="2"/>
          <w:sz w:val="23"/>
          <w:szCs w:val="23"/>
          <w:lang w:val="en-US"/>
        </w:rPr>
        <w:t xml:space="preserve">2023 </w:t>
      </w:r>
      <w:r w:rsidR="00ED21A7" w:rsidRPr="009A017B">
        <w:rPr>
          <w:rFonts w:ascii="Arial" w:eastAsia="宋体" w:hAnsi="Arial" w:cs="Arial"/>
          <w:kern w:val="2"/>
          <w:sz w:val="23"/>
          <w:szCs w:val="23"/>
          <w:lang w:val="en-US"/>
        </w:rPr>
        <w:t>- China Merchants Bank Co., Ltd. (</w:t>
      </w:r>
      <w:proofErr w:type="spellStart"/>
      <w:r w:rsidR="00ED21A7" w:rsidRPr="009A017B">
        <w:rPr>
          <w:rFonts w:ascii="Arial" w:eastAsia="宋体" w:hAnsi="Arial" w:cs="Arial"/>
          <w:kern w:val="2"/>
          <w:sz w:val="23"/>
          <w:szCs w:val="23"/>
          <w:lang w:val="en-US"/>
        </w:rPr>
        <w:t>HKEx</w:t>
      </w:r>
      <w:proofErr w:type="spellEnd"/>
      <w:r w:rsidR="00ED21A7" w:rsidRPr="009A017B">
        <w:rPr>
          <w:rFonts w:ascii="Arial" w:eastAsia="宋体" w:hAnsi="Arial" w:cs="Arial"/>
          <w:kern w:val="2"/>
          <w:sz w:val="23"/>
          <w:szCs w:val="23"/>
          <w:lang w:val="en-US"/>
        </w:rPr>
        <w:t xml:space="preserve">: 3968; SSE: 600036; “China Merchants Bank” or “the Company” or “the Bank”) together with its subsidiaries (“the Group”) today announced its </w:t>
      </w:r>
      <w:r w:rsidRPr="009A017B">
        <w:rPr>
          <w:rFonts w:ascii="Arial" w:eastAsia="宋体" w:hAnsi="Arial" w:cs="Arial"/>
          <w:kern w:val="2"/>
          <w:sz w:val="23"/>
          <w:szCs w:val="23"/>
          <w:lang w:val="en-US"/>
        </w:rPr>
        <w:t xml:space="preserve">2023 </w:t>
      </w:r>
      <w:r w:rsidR="00ED21A7" w:rsidRPr="009A017B">
        <w:rPr>
          <w:rFonts w:ascii="Arial" w:eastAsia="宋体" w:hAnsi="Arial" w:cs="Arial"/>
          <w:kern w:val="2"/>
          <w:sz w:val="23"/>
          <w:szCs w:val="23"/>
          <w:lang w:val="en-US"/>
        </w:rPr>
        <w:t>interim results.</w:t>
      </w:r>
    </w:p>
    <w:p w14:paraId="7CB28A2C" w14:textId="77777777" w:rsidR="00ED21A7" w:rsidRPr="009A017B" w:rsidRDefault="00ED21A7" w:rsidP="00ED21A7">
      <w:pPr>
        <w:widowControl w:val="0"/>
        <w:spacing w:after="0" w:line="240" w:lineRule="auto"/>
        <w:jc w:val="both"/>
        <w:rPr>
          <w:rFonts w:ascii="Arial" w:eastAsia="宋体" w:hAnsi="Arial" w:cs="Arial"/>
          <w:kern w:val="2"/>
          <w:sz w:val="23"/>
          <w:szCs w:val="23"/>
          <w:lang w:val="en-US"/>
        </w:rPr>
      </w:pPr>
    </w:p>
    <w:p w14:paraId="686BA20F" w14:textId="1A889951" w:rsidR="00ED21A7" w:rsidRPr="009A017B" w:rsidRDefault="00ED21A7" w:rsidP="00371A22">
      <w:pPr>
        <w:widowControl w:val="0"/>
        <w:spacing w:after="0" w:line="240" w:lineRule="auto"/>
        <w:jc w:val="both"/>
        <w:rPr>
          <w:rFonts w:ascii="Arial" w:eastAsia="宋体" w:hAnsi="Arial" w:cs="Arial"/>
          <w:kern w:val="2"/>
          <w:sz w:val="23"/>
          <w:szCs w:val="23"/>
          <w:lang w:val="en-US"/>
        </w:rPr>
      </w:pPr>
      <w:r w:rsidRPr="009A017B">
        <w:rPr>
          <w:rFonts w:ascii="Arial" w:eastAsia="宋体" w:hAnsi="Arial" w:cs="Arial"/>
          <w:kern w:val="2"/>
          <w:sz w:val="23"/>
          <w:szCs w:val="23"/>
          <w:lang w:val="en-US"/>
        </w:rPr>
        <w:t xml:space="preserve">In the first half of </w:t>
      </w:r>
      <w:r w:rsidR="00146BBA" w:rsidRPr="009A017B">
        <w:rPr>
          <w:rFonts w:ascii="Arial" w:eastAsia="宋体" w:hAnsi="Arial" w:cs="Arial"/>
          <w:kern w:val="2"/>
          <w:sz w:val="23"/>
          <w:szCs w:val="23"/>
          <w:lang w:val="en-US"/>
        </w:rPr>
        <w:t>2023</w:t>
      </w:r>
      <w:r w:rsidRPr="009A017B">
        <w:rPr>
          <w:rFonts w:ascii="Arial" w:eastAsia="宋体" w:hAnsi="Arial" w:cs="Arial"/>
          <w:kern w:val="2"/>
          <w:sz w:val="23"/>
          <w:szCs w:val="23"/>
          <w:lang w:val="en-US"/>
        </w:rPr>
        <w:t xml:space="preserve">, </w:t>
      </w:r>
      <w:r w:rsidR="00371A22" w:rsidRPr="009A017B">
        <w:rPr>
          <w:rFonts w:ascii="Arial" w:eastAsia="宋体" w:hAnsi="Arial" w:cs="Arial"/>
          <w:kern w:val="2"/>
          <w:sz w:val="23"/>
          <w:szCs w:val="23"/>
          <w:lang w:val="en-US"/>
        </w:rPr>
        <w:t>the Group adhered to the concept of dynamically and balanced development of “Quality, Efficiency and Scale”, took the strategic target of building a value creation bank and carried out various businesses in a sound manner. Both the scale of assets and liabilities and net profit grew steadily, and the overall asset quality is stable.</w:t>
      </w:r>
    </w:p>
    <w:p w14:paraId="22AF9912" w14:textId="77777777" w:rsidR="00687735" w:rsidRPr="009A017B" w:rsidRDefault="00505E26">
      <w:pPr>
        <w:widowControl w:val="0"/>
        <w:spacing w:after="0" w:line="240" w:lineRule="auto"/>
        <w:jc w:val="both"/>
        <w:rPr>
          <w:rFonts w:ascii="Arial" w:eastAsia="宋体" w:hAnsi="Arial" w:cs="Arial"/>
          <w:kern w:val="2"/>
          <w:sz w:val="23"/>
          <w:szCs w:val="23"/>
          <w:lang w:val="en-US"/>
        </w:rPr>
      </w:pPr>
      <w:r w:rsidRPr="009A017B">
        <w:rPr>
          <w:rFonts w:ascii="Arial" w:eastAsia="宋体" w:hAnsi="Arial" w:cs="Arial"/>
          <w:noProof/>
          <w:kern w:val="2"/>
          <w:sz w:val="23"/>
          <w:szCs w:val="23"/>
          <w:lang w:eastAsia="zh-TW"/>
        </w:rPr>
        <mc:AlternateContent>
          <mc:Choice Requires="wps">
            <w:drawing>
              <wp:anchor distT="0" distB="0" distL="114300" distR="114300" simplePos="0" relativeHeight="251659264" behindDoc="1" locked="0" layoutInCell="1" allowOverlap="1" wp14:anchorId="7B3425F7" wp14:editId="6A3209B1">
                <wp:simplePos x="0" y="0"/>
                <wp:positionH relativeFrom="column">
                  <wp:posOffset>-16593</wp:posOffset>
                </wp:positionH>
                <wp:positionV relativeFrom="paragraph">
                  <wp:posOffset>208611</wp:posOffset>
                </wp:positionV>
                <wp:extent cx="1500809" cy="304800"/>
                <wp:effectExtent l="0" t="0" r="0" b="0"/>
                <wp:wrapNone/>
                <wp:docPr id="11"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0809" cy="304800"/>
                        </a:xfrm>
                        <a:prstGeom prst="roundRect">
                          <a:avLst>
                            <a:gd name="adj" fmla="val 16667"/>
                          </a:avLst>
                        </a:prstGeom>
                        <a:gradFill rotWithShape="0">
                          <a:gsLst>
                            <a:gs pos="0">
                              <a:srgbClr val="FF0000"/>
                            </a:gs>
                            <a:gs pos="100000">
                              <a:srgbClr val="FF0000">
                                <a:gamma/>
                                <a:tint val="20000"/>
                                <a:invGamma/>
                              </a:srgbClr>
                            </a:gs>
                          </a:gsLst>
                          <a:lin ang="2700000" scaled="1"/>
                        </a:gradFill>
                        <a:ln>
                          <a:noFill/>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oundrect w14:anchorId="5A681474" id="Rectangle: Rounded Corners 11" o:spid="_x0000_s1026" style="position:absolute;margin-left:-1.3pt;margin-top:16.45pt;width:118.15pt;height:24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" fillcolor="red" stroked="f">
                <v:fill color2="#fcc" angle="45" focus="100%" type="gradient"/>
              </v:roundrect>
            </w:pict>
          </mc:Fallback>
        </mc:AlternateContent>
      </w:r>
    </w:p>
    <w:p w14:paraId="459008A7" w14:textId="183F1088" w:rsidR="00687735" w:rsidRPr="009A017B" w:rsidRDefault="00ED21A7" w:rsidP="00ED21A7">
      <w:pPr>
        <w:widowControl w:val="0"/>
        <w:spacing w:after="0" w:line="240" w:lineRule="auto"/>
        <w:jc w:val="both"/>
        <w:rPr>
          <w:rFonts w:ascii="Arial" w:eastAsia="宋体" w:hAnsi="Arial" w:cs="Arial"/>
          <w:b/>
          <w:bCs/>
          <w:kern w:val="2"/>
          <w:sz w:val="23"/>
          <w:szCs w:val="23"/>
          <w:lang w:val="en-US" w:eastAsia="zh-HK"/>
        </w:rPr>
      </w:pPr>
      <w:r w:rsidRPr="009A017B">
        <w:rPr>
          <w:rFonts w:ascii="Arial" w:eastAsia="宋体" w:hAnsi="Arial" w:cs="Arial"/>
          <w:b/>
          <w:kern w:val="2"/>
          <w:sz w:val="23"/>
          <w:szCs w:val="23"/>
          <w:lang w:val="en-US"/>
        </w:rPr>
        <w:t>1. Overall Operation</w:t>
      </w:r>
    </w:p>
    <w:p w14:paraId="41A8C296" w14:textId="77777777" w:rsidR="00687735" w:rsidRPr="009A017B" w:rsidRDefault="00687735">
      <w:pPr>
        <w:widowControl w:val="0"/>
        <w:autoSpaceDE w:val="0"/>
        <w:autoSpaceDN w:val="0"/>
        <w:adjustRightInd w:val="0"/>
        <w:spacing w:after="0" w:line="240" w:lineRule="auto"/>
        <w:jc w:val="both"/>
        <w:rPr>
          <w:rFonts w:ascii="Arial" w:eastAsia="宋体" w:hAnsi="Arial" w:cs="Arial"/>
          <w:sz w:val="23"/>
          <w:szCs w:val="23"/>
          <w:lang w:val="en-US"/>
        </w:rPr>
      </w:pPr>
    </w:p>
    <w:p w14:paraId="432E0B46" w14:textId="163C1316" w:rsidR="00ED21A7" w:rsidRPr="009A017B" w:rsidRDefault="00ED21A7" w:rsidP="00371A22">
      <w:pPr>
        <w:widowControl w:val="0"/>
        <w:autoSpaceDE w:val="0"/>
        <w:autoSpaceDN w:val="0"/>
        <w:adjustRightInd w:val="0"/>
        <w:spacing w:after="0" w:line="240" w:lineRule="auto"/>
        <w:jc w:val="both"/>
        <w:rPr>
          <w:rFonts w:ascii="Arial" w:eastAsia="宋体" w:hAnsi="Arial" w:cs="Arial"/>
          <w:bCs/>
          <w:sz w:val="23"/>
          <w:szCs w:val="23"/>
          <w:lang w:val="en-US"/>
        </w:rPr>
      </w:pPr>
      <w:r w:rsidRPr="009A017B">
        <w:rPr>
          <w:rFonts w:ascii="Arial" w:eastAsia="宋体" w:hAnsi="Arial" w:cs="Arial"/>
          <w:bCs/>
          <w:sz w:val="23"/>
          <w:szCs w:val="23"/>
          <w:lang w:val="en-US"/>
        </w:rPr>
        <w:t xml:space="preserve">In the first half of </w:t>
      </w:r>
      <w:r w:rsidR="00371A22" w:rsidRPr="009A017B">
        <w:rPr>
          <w:rFonts w:ascii="Arial" w:eastAsia="宋体" w:hAnsi="Arial" w:cs="Arial"/>
          <w:bCs/>
          <w:sz w:val="23"/>
          <w:szCs w:val="23"/>
          <w:lang w:val="en-US"/>
        </w:rPr>
        <w:t>2023</w:t>
      </w:r>
      <w:r w:rsidRPr="009A017B">
        <w:rPr>
          <w:rFonts w:ascii="Arial" w:eastAsia="宋体" w:hAnsi="Arial" w:cs="Arial"/>
          <w:bCs/>
          <w:sz w:val="23"/>
          <w:szCs w:val="23"/>
          <w:lang w:val="en-US"/>
        </w:rPr>
        <w:t xml:space="preserve">, </w:t>
      </w:r>
      <w:r w:rsidR="00371A22" w:rsidRPr="009A017B">
        <w:rPr>
          <w:rFonts w:ascii="Arial" w:eastAsia="宋体" w:hAnsi="Arial" w:cs="Arial"/>
          <w:bCs/>
          <w:sz w:val="23"/>
          <w:szCs w:val="23"/>
          <w:lang w:val="en-US"/>
        </w:rPr>
        <w:t xml:space="preserve">During the reporting period, the Group </w:t>
      </w:r>
      <w:proofErr w:type="spellStart"/>
      <w:r w:rsidR="00371A22" w:rsidRPr="009A017B">
        <w:rPr>
          <w:rFonts w:ascii="Arial" w:eastAsia="宋体" w:hAnsi="Arial" w:cs="Arial"/>
          <w:bCs/>
          <w:sz w:val="23"/>
          <w:szCs w:val="23"/>
          <w:lang w:val="en-US"/>
        </w:rPr>
        <w:t>realised</w:t>
      </w:r>
      <w:proofErr w:type="spellEnd"/>
      <w:r w:rsidR="00371A22" w:rsidRPr="009A017B">
        <w:rPr>
          <w:rFonts w:ascii="Arial" w:eastAsia="宋体" w:hAnsi="Arial" w:cs="Arial"/>
          <w:bCs/>
          <w:sz w:val="23"/>
          <w:szCs w:val="23"/>
          <w:lang w:val="en-US"/>
        </w:rPr>
        <w:t xml:space="preserve"> the net operating income of RMB178.465 billion, representing a year-on-year decrease of 0.34%; </w:t>
      </w:r>
      <w:proofErr w:type="spellStart"/>
      <w:r w:rsidR="00371A22" w:rsidRPr="009A017B">
        <w:rPr>
          <w:rFonts w:ascii="Arial" w:eastAsia="宋体" w:hAnsi="Arial" w:cs="Arial"/>
          <w:bCs/>
          <w:sz w:val="23"/>
          <w:szCs w:val="23"/>
          <w:lang w:val="en-US"/>
        </w:rPr>
        <w:t>realised</w:t>
      </w:r>
      <w:proofErr w:type="spellEnd"/>
      <w:r w:rsidR="00371A22" w:rsidRPr="009A017B">
        <w:rPr>
          <w:rFonts w:ascii="Arial" w:eastAsia="宋体" w:hAnsi="Arial" w:cs="Arial"/>
          <w:bCs/>
          <w:sz w:val="23"/>
          <w:szCs w:val="23"/>
          <w:lang w:val="en-US"/>
        </w:rPr>
        <w:t xml:space="preserve"> a net profit attributable to shareholders of the Bank of RMB75.752 billion, representing a year-on-year increase of 9.12%; </w:t>
      </w:r>
      <w:proofErr w:type="spellStart"/>
      <w:r w:rsidR="00371A22" w:rsidRPr="009A017B">
        <w:rPr>
          <w:rFonts w:ascii="Arial" w:eastAsia="宋体" w:hAnsi="Arial" w:cs="Arial"/>
          <w:bCs/>
          <w:sz w:val="23"/>
          <w:szCs w:val="23"/>
          <w:lang w:val="en-US"/>
        </w:rPr>
        <w:t>realised</w:t>
      </w:r>
      <w:proofErr w:type="spellEnd"/>
      <w:r w:rsidR="00371A22" w:rsidRPr="009A017B">
        <w:rPr>
          <w:rFonts w:ascii="Arial" w:eastAsia="宋体" w:hAnsi="Arial" w:cs="Arial"/>
          <w:bCs/>
          <w:sz w:val="23"/>
          <w:szCs w:val="23"/>
          <w:lang w:val="en-US"/>
        </w:rPr>
        <w:t xml:space="preserve"> the net interest income of RMB108.996 billion, representing a year-on-year increase of 1.21%; and </w:t>
      </w:r>
      <w:proofErr w:type="spellStart"/>
      <w:r w:rsidR="00371A22" w:rsidRPr="009A017B">
        <w:rPr>
          <w:rFonts w:ascii="Arial" w:eastAsia="宋体" w:hAnsi="Arial" w:cs="Arial"/>
          <w:bCs/>
          <w:sz w:val="23"/>
          <w:szCs w:val="23"/>
          <w:lang w:val="en-US"/>
        </w:rPr>
        <w:t>realised</w:t>
      </w:r>
      <w:proofErr w:type="spellEnd"/>
      <w:r w:rsidR="00371A22" w:rsidRPr="009A017B">
        <w:rPr>
          <w:rFonts w:ascii="Arial" w:eastAsia="宋体" w:hAnsi="Arial" w:cs="Arial"/>
          <w:bCs/>
          <w:sz w:val="23"/>
          <w:szCs w:val="23"/>
          <w:lang w:val="en-US"/>
        </w:rPr>
        <w:t xml:space="preserve"> the net non-interest income of RMB69.469 billion, representing </w:t>
      </w:r>
      <w:proofErr w:type="spellStart"/>
      <w:r w:rsidR="00371A22" w:rsidRPr="009A017B">
        <w:rPr>
          <w:rFonts w:ascii="Arial" w:eastAsia="宋体" w:hAnsi="Arial" w:cs="Arial"/>
          <w:bCs/>
          <w:sz w:val="23"/>
          <w:szCs w:val="23"/>
          <w:lang w:val="en-US"/>
        </w:rPr>
        <w:t>ayear</w:t>
      </w:r>
      <w:proofErr w:type="spellEnd"/>
      <w:r w:rsidR="00371A22" w:rsidRPr="009A017B">
        <w:rPr>
          <w:rFonts w:ascii="Arial" w:eastAsia="宋体" w:hAnsi="Arial" w:cs="Arial"/>
          <w:bCs/>
          <w:sz w:val="23"/>
          <w:szCs w:val="23"/>
          <w:lang w:val="en-US"/>
        </w:rPr>
        <w:t xml:space="preserve">-on-year decrease of 2.68%. The </w:t>
      </w:r>
      <w:proofErr w:type="spellStart"/>
      <w:r w:rsidR="00371A22" w:rsidRPr="009A017B">
        <w:rPr>
          <w:rFonts w:ascii="Arial" w:eastAsia="宋体" w:hAnsi="Arial" w:cs="Arial"/>
          <w:bCs/>
          <w:sz w:val="23"/>
          <w:szCs w:val="23"/>
          <w:lang w:val="en-US"/>
        </w:rPr>
        <w:t>annualised</w:t>
      </w:r>
      <w:proofErr w:type="spellEnd"/>
      <w:r w:rsidR="00371A22" w:rsidRPr="009A017B">
        <w:rPr>
          <w:rFonts w:ascii="Arial" w:eastAsia="宋体" w:hAnsi="Arial" w:cs="Arial"/>
          <w:bCs/>
          <w:sz w:val="23"/>
          <w:szCs w:val="23"/>
          <w:lang w:val="en-US"/>
        </w:rPr>
        <w:t xml:space="preserve"> return on average asset (ROAA) attributable to shareholders of the Bank and the </w:t>
      </w:r>
      <w:proofErr w:type="spellStart"/>
      <w:r w:rsidR="00371A22" w:rsidRPr="009A017B">
        <w:rPr>
          <w:rFonts w:ascii="Arial" w:eastAsia="宋体" w:hAnsi="Arial" w:cs="Arial"/>
          <w:bCs/>
          <w:sz w:val="23"/>
          <w:szCs w:val="23"/>
          <w:lang w:val="en-US"/>
        </w:rPr>
        <w:t>annualised</w:t>
      </w:r>
      <w:proofErr w:type="spellEnd"/>
      <w:r w:rsidR="00371A22" w:rsidRPr="009A017B">
        <w:rPr>
          <w:rFonts w:ascii="Arial" w:eastAsia="宋体" w:hAnsi="Arial" w:cs="Arial"/>
          <w:bCs/>
          <w:sz w:val="23"/>
          <w:szCs w:val="23"/>
          <w:lang w:val="en-US"/>
        </w:rPr>
        <w:t xml:space="preserve"> return on average equity (ROAE) attributable to ordinary shareholders of the Bank were1.45% and 17.55%, down by 0.01 percentage point and 0.52 percentage point year-on-year, respectively.</w:t>
      </w:r>
      <w:r w:rsidR="00371A22" w:rsidRPr="009A017B" w:rsidDel="00371A22">
        <w:rPr>
          <w:rFonts w:ascii="Arial" w:eastAsia="宋体" w:hAnsi="Arial" w:cs="Arial"/>
          <w:bCs/>
          <w:sz w:val="23"/>
          <w:szCs w:val="23"/>
          <w:lang w:val="en-US"/>
        </w:rPr>
        <w:t xml:space="preserve"> </w:t>
      </w:r>
    </w:p>
    <w:p w14:paraId="76BA5D86" w14:textId="66A2D44A" w:rsidR="00ED21A7" w:rsidRPr="009A017B" w:rsidRDefault="00ED21A7" w:rsidP="00ED21A7">
      <w:pPr>
        <w:widowControl w:val="0"/>
        <w:autoSpaceDE w:val="0"/>
        <w:autoSpaceDN w:val="0"/>
        <w:adjustRightInd w:val="0"/>
        <w:spacing w:after="0" w:line="240" w:lineRule="auto"/>
        <w:jc w:val="both"/>
        <w:rPr>
          <w:rFonts w:ascii="Arial" w:eastAsia="宋体" w:hAnsi="Arial" w:cs="Arial"/>
          <w:bCs/>
          <w:sz w:val="23"/>
          <w:szCs w:val="23"/>
          <w:lang w:val="en-US"/>
        </w:rPr>
      </w:pPr>
    </w:p>
    <w:p w14:paraId="0FB70968" w14:textId="20BC3A4E" w:rsidR="00ED21A7" w:rsidRPr="009A017B" w:rsidRDefault="00371A22" w:rsidP="005C20DA">
      <w:pPr>
        <w:widowControl w:val="0"/>
        <w:autoSpaceDE w:val="0"/>
        <w:autoSpaceDN w:val="0"/>
        <w:adjustRightInd w:val="0"/>
        <w:spacing w:after="0" w:line="240" w:lineRule="auto"/>
        <w:jc w:val="both"/>
        <w:rPr>
          <w:rFonts w:ascii="Arial" w:eastAsia="宋体" w:hAnsi="Arial" w:cs="Arial"/>
          <w:bCs/>
          <w:sz w:val="23"/>
          <w:szCs w:val="23"/>
          <w:lang w:val="en-US"/>
        </w:rPr>
      </w:pPr>
      <w:r w:rsidRPr="009A017B">
        <w:rPr>
          <w:rFonts w:ascii="Arial" w:eastAsia="宋体" w:hAnsi="Arial" w:cs="Arial"/>
          <w:bCs/>
          <w:sz w:val="23"/>
          <w:szCs w:val="23"/>
          <w:lang w:val="en-US"/>
        </w:rPr>
        <w:t xml:space="preserve">As at the end of the reporting period, the Group’s total assets amounted to RMB10,739.836 </w:t>
      </w:r>
      <w:r w:rsidRPr="009A017B">
        <w:rPr>
          <w:rFonts w:ascii="Arial" w:eastAsia="宋体" w:hAnsi="Arial" w:cs="Arial"/>
          <w:bCs/>
          <w:sz w:val="23"/>
          <w:szCs w:val="23"/>
          <w:lang w:val="en-US"/>
        </w:rPr>
        <w:lastRenderedPageBreak/>
        <w:t>billion, representing an increase of 5.93% as compared with the end of the previous year. The total loans and advances to customers amounted to RMB6,355.439 billion, representing an increase of 5.02% as compared with the end of the previous year. Total liabilities amounted to RMB9,753.923 billion, representing an increase of 6.20% as compared with the end of the previous year. Total deposits from customers amounted to RMB8,030.232 billion, representing an increase of 6.56% as compared with the end of the previous year. The core Tier 1 capital adequacy ratio, the Tier 1 capital adequacy ratio and the capital adequacy ratio of the Group under the Advanced Measurement Approach were 13.09%, 14.99% and 17.09% respectively, representing a decrease of 0.59, 0.76 and 0.68 percentage point respectively as compared with the end of the previous year.</w:t>
      </w:r>
      <w:r w:rsidR="005C20DA" w:rsidRPr="009A017B">
        <w:rPr>
          <w:rFonts w:ascii="Arial" w:eastAsia="宋体" w:hAnsi="Arial" w:cs="Arial"/>
          <w:bCs/>
          <w:sz w:val="23"/>
          <w:szCs w:val="23"/>
          <w:lang w:val="en-US"/>
        </w:rPr>
        <w:t xml:space="preserve"> The core Tier 1 capital adequacy ratio, the Tier 1 capital adequacy ratio and the capital adequacy ratio of the Group under the Weighted Approach were 11.16%, 12.78% and 14.19%respectively, representing a decrease of 0.36, 0.47 and 0.49 percentage point respectively as compared with the end of the previous year.</w:t>
      </w:r>
      <w:r w:rsidR="005C20DA" w:rsidRPr="009A017B">
        <w:rPr>
          <w:rFonts w:ascii="Arial" w:eastAsia="宋体" w:hAnsi="Arial" w:cs="Arial"/>
          <w:lang w:val="en-HK"/>
        </w:rPr>
        <w:t xml:space="preserve"> </w:t>
      </w:r>
      <w:r w:rsidR="005C20DA" w:rsidRPr="009A017B">
        <w:rPr>
          <w:rFonts w:ascii="Arial" w:eastAsia="宋体" w:hAnsi="Arial" w:cs="Arial"/>
          <w:bCs/>
          <w:sz w:val="23"/>
          <w:szCs w:val="23"/>
          <w:lang w:val="en-US"/>
        </w:rPr>
        <w:t>In the absence of dividend-related considerations, the capital adequacy ratios across all levels demonstrate a sustained upward trajectory.</w:t>
      </w:r>
    </w:p>
    <w:p w14:paraId="74B7AA6C" w14:textId="4511EEBD" w:rsidR="00ED21A7" w:rsidRPr="009A017B" w:rsidRDefault="00ED21A7" w:rsidP="00ED21A7">
      <w:pPr>
        <w:widowControl w:val="0"/>
        <w:autoSpaceDE w:val="0"/>
        <w:autoSpaceDN w:val="0"/>
        <w:adjustRightInd w:val="0"/>
        <w:spacing w:after="0" w:line="240" w:lineRule="auto"/>
        <w:jc w:val="both"/>
        <w:rPr>
          <w:rFonts w:ascii="Arial" w:eastAsia="宋体" w:hAnsi="Arial" w:cs="Arial"/>
          <w:bCs/>
          <w:sz w:val="23"/>
          <w:szCs w:val="23"/>
          <w:lang w:val="en-US"/>
        </w:rPr>
      </w:pPr>
    </w:p>
    <w:p w14:paraId="5C00AC17" w14:textId="3209BC9A" w:rsidR="00ED21A7" w:rsidRPr="009A017B" w:rsidRDefault="005C20DA" w:rsidP="005C20DA">
      <w:pPr>
        <w:widowControl w:val="0"/>
        <w:autoSpaceDE w:val="0"/>
        <w:autoSpaceDN w:val="0"/>
        <w:adjustRightInd w:val="0"/>
        <w:spacing w:after="0" w:line="240" w:lineRule="auto"/>
        <w:jc w:val="both"/>
        <w:rPr>
          <w:rFonts w:ascii="Arial" w:eastAsia="宋体" w:hAnsi="Arial" w:cs="Arial"/>
          <w:bCs/>
          <w:sz w:val="23"/>
          <w:szCs w:val="23"/>
          <w:lang w:val="en-US"/>
        </w:rPr>
      </w:pPr>
      <w:r w:rsidRPr="009A017B">
        <w:rPr>
          <w:rFonts w:ascii="Arial" w:eastAsia="宋体" w:hAnsi="Arial" w:cs="Arial"/>
          <w:bCs/>
          <w:sz w:val="23"/>
          <w:szCs w:val="23"/>
          <w:lang w:val="en-US"/>
        </w:rPr>
        <w:t>As at the end of the reporting period, the Group had a balance of non-performing loans of RMB60.641 billion, representing an increase of RMB2.637 billion as compared with the end of the previous year. The non-performing loan ratio was 0.95%, representing a decrease of 0.01 percentage point as compared with the end of the previous year. The allowance coverage ratio was 447.63%, representing a decrease of 3.16 percentage points as compared with the end of the previous year; the allowance-to-loan ratio was 4.27%, representing a decrease of 0.05 percentage point as compared with the end of the previous year.</w:t>
      </w:r>
    </w:p>
    <w:p w14:paraId="3ECBED2C" w14:textId="77777777" w:rsidR="00687735" w:rsidRPr="009A017B" w:rsidRDefault="00505E26">
      <w:pPr>
        <w:widowControl w:val="0"/>
        <w:autoSpaceDE w:val="0"/>
        <w:autoSpaceDN w:val="0"/>
        <w:adjustRightInd w:val="0"/>
        <w:spacing w:after="0" w:line="240" w:lineRule="auto"/>
        <w:jc w:val="both"/>
        <w:rPr>
          <w:rFonts w:ascii="Arial" w:eastAsia="宋体" w:hAnsi="Arial" w:cs="Arial"/>
          <w:kern w:val="2"/>
          <w:sz w:val="23"/>
          <w:szCs w:val="23"/>
          <w:lang w:val="en-US"/>
        </w:rPr>
      </w:pPr>
      <w:r w:rsidRPr="009A017B">
        <w:rPr>
          <w:rFonts w:ascii="Arial" w:eastAsia="宋体" w:hAnsi="Arial" w:cs="Arial"/>
          <w:b/>
          <w:noProof/>
          <w:kern w:val="2"/>
          <w:sz w:val="23"/>
          <w:szCs w:val="23"/>
          <w:lang w:eastAsia="zh-TW"/>
        </w:rPr>
        <mc:AlternateContent>
          <mc:Choice Requires="wps">
            <w:drawing>
              <wp:anchor distT="0" distB="0" distL="114300" distR="114300" simplePos="0" relativeHeight="251662336" behindDoc="1" locked="0" layoutInCell="1" allowOverlap="1" wp14:anchorId="3EFE8759" wp14:editId="0EA03622">
                <wp:simplePos x="0" y="0"/>
                <wp:positionH relativeFrom="column">
                  <wp:posOffset>-26533</wp:posOffset>
                </wp:positionH>
                <wp:positionV relativeFrom="paragraph">
                  <wp:posOffset>192874</wp:posOffset>
                </wp:positionV>
                <wp:extent cx="2554357" cy="304800"/>
                <wp:effectExtent l="0" t="0" r="0" b="0"/>
                <wp:wrapNone/>
                <wp:docPr id="10" name="Rectangle: Rounded Corner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4357" cy="304800"/>
                        </a:xfrm>
                        <a:prstGeom prst="roundRect">
                          <a:avLst>
                            <a:gd name="adj" fmla="val 16667"/>
                          </a:avLst>
                        </a:prstGeom>
                        <a:gradFill rotWithShape="0">
                          <a:gsLst>
                            <a:gs pos="0">
                              <a:srgbClr val="FF0000"/>
                            </a:gs>
                            <a:gs pos="100000">
                              <a:srgbClr val="FF0000">
                                <a:gamma/>
                                <a:tint val="20000"/>
                                <a:invGamma/>
                              </a:srgbClr>
                            </a:gs>
                          </a:gsLst>
                          <a:lin ang="2700000" scaled="1"/>
                        </a:gradFill>
                        <a:ln>
                          <a:noFill/>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oundrect w14:anchorId="0F893CD9" id="Rectangle: Rounded Corners 10" o:spid="_x0000_s1026" style="position:absolute;margin-left:-2.1pt;margin-top:15.2pt;width:201.15pt;height:24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" fillcolor="red" stroked="f">
                <v:fill color2="#fcc" angle="45" focus="100%" type="gradient"/>
              </v:roundrect>
            </w:pict>
          </mc:Fallback>
        </mc:AlternateContent>
      </w:r>
    </w:p>
    <w:p w14:paraId="30568F65" w14:textId="64D28D3B" w:rsidR="00687735" w:rsidRPr="009A017B" w:rsidRDefault="000D7849">
      <w:pPr>
        <w:widowControl w:val="0"/>
        <w:spacing w:after="0" w:line="240" w:lineRule="auto"/>
        <w:jc w:val="both"/>
        <w:rPr>
          <w:rFonts w:ascii="Arial" w:eastAsia="宋体" w:hAnsi="Arial" w:cs="Arial"/>
          <w:b/>
          <w:kern w:val="2"/>
          <w:sz w:val="23"/>
          <w:szCs w:val="23"/>
          <w:lang w:val="en-US"/>
        </w:rPr>
      </w:pPr>
      <w:r w:rsidRPr="009A017B">
        <w:rPr>
          <w:rFonts w:ascii="Arial" w:eastAsia="宋体" w:hAnsi="Arial" w:cs="Arial"/>
          <w:b/>
          <w:kern w:val="2"/>
          <w:sz w:val="23"/>
          <w:szCs w:val="23"/>
          <w:lang w:val="en-US"/>
        </w:rPr>
        <w:t>2. Operating status of the Company</w:t>
      </w:r>
    </w:p>
    <w:p w14:paraId="03C7EA70" w14:textId="77777777" w:rsidR="00687735" w:rsidRPr="009A017B" w:rsidRDefault="00687735">
      <w:pPr>
        <w:widowControl w:val="0"/>
        <w:autoSpaceDE w:val="0"/>
        <w:autoSpaceDN w:val="0"/>
        <w:adjustRightInd w:val="0"/>
        <w:spacing w:after="0" w:line="240" w:lineRule="auto"/>
        <w:jc w:val="both"/>
        <w:rPr>
          <w:rFonts w:ascii="Arial" w:eastAsia="宋体" w:hAnsi="Arial" w:cs="Arial"/>
          <w:b/>
          <w:sz w:val="23"/>
          <w:szCs w:val="23"/>
          <w:lang w:val="en-US"/>
        </w:rPr>
      </w:pPr>
    </w:p>
    <w:p w14:paraId="4ADF798D" w14:textId="720751E3" w:rsidR="00ED21A7" w:rsidRPr="009A017B" w:rsidRDefault="005C20DA" w:rsidP="005C20DA">
      <w:pPr>
        <w:widowControl w:val="0"/>
        <w:autoSpaceDE w:val="0"/>
        <w:autoSpaceDN w:val="0"/>
        <w:adjustRightInd w:val="0"/>
        <w:spacing w:after="0" w:line="240" w:lineRule="auto"/>
        <w:jc w:val="both"/>
        <w:rPr>
          <w:rFonts w:ascii="Arial" w:eastAsia="宋体" w:hAnsi="Arial" w:cs="Arial"/>
          <w:bCs/>
          <w:sz w:val="23"/>
          <w:szCs w:val="23"/>
          <w:lang w:val="en-US"/>
        </w:rPr>
      </w:pPr>
      <w:r w:rsidRPr="009A017B">
        <w:rPr>
          <w:rFonts w:ascii="Arial" w:eastAsia="宋体" w:hAnsi="Arial" w:cs="Arial"/>
          <w:bCs/>
          <w:sz w:val="23"/>
          <w:szCs w:val="23"/>
          <w:lang w:val="en-US"/>
        </w:rPr>
        <w:t>During the reporting period, the Company focused on the strategic objective of “value creation bank”, and adhered to the principle of “quality-oriented, efficiency priority, appropriate scale and reasonable structure”, while focusing on value creation and enhancing core competitiveness with continuous efforts.</w:t>
      </w:r>
    </w:p>
    <w:p w14:paraId="7D6AE616" w14:textId="77777777" w:rsidR="00687735" w:rsidRPr="009A017B" w:rsidRDefault="00687735">
      <w:pPr>
        <w:widowControl w:val="0"/>
        <w:autoSpaceDE w:val="0"/>
        <w:autoSpaceDN w:val="0"/>
        <w:adjustRightInd w:val="0"/>
        <w:spacing w:after="0" w:line="240" w:lineRule="auto"/>
        <w:jc w:val="both"/>
        <w:rPr>
          <w:rFonts w:ascii="Arial" w:eastAsia="宋体" w:hAnsi="Arial" w:cs="Arial"/>
          <w:b/>
          <w:sz w:val="23"/>
          <w:szCs w:val="23"/>
          <w:lang w:val="en-US"/>
        </w:rPr>
      </w:pPr>
      <w:bookmarkStart w:id="0" w:name="_Hlk17309961"/>
    </w:p>
    <w:p w14:paraId="0909DB79" w14:textId="50D24E9E" w:rsidR="00687735" w:rsidRPr="009A017B" w:rsidRDefault="0059662B">
      <w:pPr>
        <w:widowControl w:val="0"/>
        <w:numPr>
          <w:ilvl w:val="0"/>
          <w:numId w:val="5"/>
        </w:numPr>
        <w:spacing w:after="0" w:line="240" w:lineRule="auto"/>
        <w:ind w:left="426" w:hanging="426"/>
        <w:jc w:val="both"/>
        <w:rPr>
          <w:rFonts w:ascii="Arial" w:eastAsia="宋体" w:hAnsi="Arial" w:cs="Arial"/>
          <w:b/>
          <w:bCs/>
          <w:kern w:val="2"/>
          <w:sz w:val="23"/>
          <w:szCs w:val="23"/>
          <w:lang w:val="en-US"/>
        </w:rPr>
      </w:pPr>
      <w:r w:rsidRPr="0059662B">
        <w:rPr>
          <w:rFonts w:ascii="Arial" w:eastAsia="宋体" w:hAnsi="Arial" w:cs="Arial"/>
          <w:b/>
          <w:bCs/>
          <w:kern w:val="2"/>
          <w:sz w:val="23"/>
          <w:szCs w:val="23"/>
          <w:lang w:val="en-US"/>
        </w:rPr>
        <w:t>Continuously consolidating advantages of retail finance systemization</w:t>
      </w:r>
    </w:p>
    <w:p w14:paraId="0089F6C4" w14:textId="6384BCDB" w:rsidR="00787228" w:rsidRDefault="00787228" w:rsidP="000D38A6">
      <w:pPr>
        <w:widowControl w:val="0"/>
        <w:autoSpaceDE w:val="0"/>
        <w:autoSpaceDN w:val="0"/>
        <w:adjustRightInd w:val="0"/>
        <w:spacing w:after="0" w:line="240" w:lineRule="auto"/>
        <w:ind w:left="360"/>
        <w:jc w:val="both"/>
        <w:rPr>
          <w:rFonts w:ascii="Arial" w:eastAsia="宋体" w:hAnsi="Arial" w:cs="Arial"/>
          <w:bCs/>
          <w:sz w:val="23"/>
          <w:szCs w:val="23"/>
          <w:lang w:val="en-US"/>
        </w:rPr>
      </w:pPr>
      <w:r w:rsidRPr="009A017B">
        <w:rPr>
          <w:rFonts w:ascii="Arial" w:eastAsia="宋体" w:hAnsi="Arial" w:cs="Arial"/>
          <w:bCs/>
          <w:sz w:val="23"/>
          <w:szCs w:val="23"/>
          <w:lang w:val="en-US"/>
        </w:rPr>
        <w:t>The Company has always adhered to its "customer-centric" values and has maintained steady growth in customer base and business scale of its retail business.</w:t>
      </w:r>
      <w:r w:rsidR="000D38A6" w:rsidRPr="009A017B">
        <w:rPr>
          <w:rFonts w:ascii="Arial" w:eastAsia="宋体" w:hAnsi="Arial" w:cs="Arial"/>
          <w:bCs/>
          <w:sz w:val="23"/>
          <w:szCs w:val="23"/>
          <w:lang w:val="en-US"/>
        </w:rPr>
        <w:t xml:space="preserve"> As of the end of the reporting period, the Company had 190 million retail customers (including debit and credit card customers), representing an increase of 3.26% as compared with the end of the previous year, among which the number of Golden Sunflower and above customers (those with minimum daily average total assets of RMB500,000for each month) reached 4,441,500, representing an increase of 7.19% as compared with the end of the previous </w:t>
      </w:r>
      <w:r w:rsidR="000D38A6" w:rsidRPr="009A017B">
        <w:rPr>
          <w:rFonts w:ascii="Arial" w:eastAsia="宋体" w:hAnsi="Arial" w:cs="Arial"/>
          <w:bCs/>
          <w:sz w:val="23"/>
          <w:szCs w:val="23"/>
          <w:lang w:val="en-US"/>
        </w:rPr>
        <w:lastRenderedPageBreak/>
        <w:t>year. The balance of total assets under management for retail customers of the Company amounted to RMB12,838.179 billion, representing an increase of 5.90% as compared with the end of the previous year. Among them, the balance of total assets under management for the Golden Sunflower and above customers amounted to RMB10,468.170 billion, representing an increase of 6.10% as compared with the end of the previous year. As at the end of the reporting period, the balance of deposits from retail customers of the Company amounted to RMB3,138.072 billion, representing an increase of 6.17% as compared with the end of the previous year. During the reporting period, the demand deposits accounted for 61.12% of the daily average balance of deposits from retail customers of the Company. The Company had 143,177 private banking customers (retail customers of the Company with minimum total daily average assets of RMB10 million per month), representing an increase of 6.21% as compared with the end of the previous year; the balance of total assets under management for private banking customers increased by 5.89% as compared with the end of the previous year; the balance of total assets per account amounted to RMB28,049,100, representing a decrease of RMB84,700 as compared with the end of the previous year. The number of transactions of the family trust business exceeded 10,000, with the business scale increased by 22.79% as compared with the end of the previous year.</w:t>
      </w:r>
    </w:p>
    <w:p w14:paraId="1D986D98" w14:textId="77777777" w:rsidR="00E44EBF" w:rsidRPr="009A017B" w:rsidRDefault="00E44EBF" w:rsidP="000D38A6">
      <w:pPr>
        <w:widowControl w:val="0"/>
        <w:autoSpaceDE w:val="0"/>
        <w:autoSpaceDN w:val="0"/>
        <w:adjustRightInd w:val="0"/>
        <w:spacing w:after="0" w:line="240" w:lineRule="auto"/>
        <w:ind w:left="360"/>
        <w:jc w:val="both"/>
        <w:rPr>
          <w:rFonts w:ascii="Arial" w:eastAsia="宋体" w:hAnsi="Arial" w:cs="Arial"/>
          <w:bCs/>
          <w:sz w:val="23"/>
          <w:szCs w:val="23"/>
          <w:lang w:val="en-US"/>
        </w:rPr>
      </w:pPr>
    </w:p>
    <w:p w14:paraId="38394D4C" w14:textId="5C0F0855" w:rsidR="000D38A6" w:rsidRPr="009A017B" w:rsidRDefault="000D38A6" w:rsidP="00DD552E">
      <w:pPr>
        <w:widowControl w:val="0"/>
        <w:autoSpaceDE w:val="0"/>
        <w:autoSpaceDN w:val="0"/>
        <w:adjustRightInd w:val="0"/>
        <w:spacing w:after="0" w:line="240" w:lineRule="auto"/>
        <w:ind w:left="360"/>
        <w:jc w:val="both"/>
        <w:rPr>
          <w:rFonts w:ascii="Arial" w:eastAsia="宋体" w:hAnsi="Arial" w:cs="Arial"/>
          <w:bCs/>
          <w:sz w:val="23"/>
          <w:szCs w:val="23"/>
          <w:lang w:val="en-US"/>
        </w:rPr>
      </w:pPr>
      <w:r w:rsidRPr="009A017B">
        <w:rPr>
          <w:rFonts w:ascii="Arial" w:eastAsia="宋体" w:hAnsi="Arial" w:cs="Arial"/>
          <w:bCs/>
          <w:sz w:val="23"/>
          <w:szCs w:val="23"/>
          <w:lang w:val="en-US"/>
        </w:rPr>
        <w:t>During the reporting period, the Company actively implemented the national and regional policy requirements for its residential mortgage loan business, adhered to the city-specific policy, supported the residents’ reasonable needs for purchasing their own homes, and achieved the sound development of this type of business.</w:t>
      </w:r>
      <w:r w:rsidR="00B56D20" w:rsidRPr="009A017B">
        <w:rPr>
          <w:rFonts w:ascii="Arial" w:eastAsia="宋体" w:hAnsi="Arial" w:cs="Arial"/>
          <w:bCs/>
          <w:sz w:val="23"/>
          <w:szCs w:val="23"/>
          <w:lang w:val="en-US"/>
        </w:rPr>
        <w:t xml:space="preserve"> The scale of residential mortgage loans declined due to lower demand and prepayment of loans. In response to this, the Company </w:t>
      </w:r>
      <w:r w:rsidR="00E505E4" w:rsidRPr="009A017B">
        <w:rPr>
          <w:rFonts w:ascii="Arial" w:eastAsia="宋体" w:hAnsi="Arial" w:cs="Arial"/>
          <w:bCs/>
          <w:sz w:val="23"/>
          <w:szCs w:val="23"/>
          <w:lang w:val="en-US"/>
        </w:rPr>
        <w:t>intensified</w:t>
      </w:r>
      <w:r w:rsidR="00B56D20" w:rsidRPr="009A017B">
        <w:rPr>
          <w:rFonts w:ascii="Arial" w:eastAsia="宋体" w:hAnsi="Arial" w:cs="Arial"/>
          <w:bCs/>
          <w:sz w:val="23"/>
          <w:szCs w:val="23"/>
          <w:lang w:val="en-US"/>
        </w:rPr>
        <w:t xml:space="preserve"> efforts to expand </w:t>
      </w:r>
      <w:r w:rsidR="00E505E4" w:rsidRPr="009A017B">
        <w:rPr>
          <w:rFonts w:ascii="Arial" w:eastAsia="宋体" w:hAnsi="Arial" w:cs="Arial"/>
          <w:bCs/>
          <w:sz w:val="23"/>
          <w:szCs w:val="23"/>
          <w:lang w:val="en-US"/>
        </w:rPr>
        <w:t>its</w:t>
      </w:r>
      <w:r w:rsidR="00B56D20" w:rsidRPr="009A017B">
        <w:rPr>
          <w:rFonts w:ascii="Arial" w:eastAsia="宋体" w:hAnsi="Arial" w:cs="Arial"/>
          <w:bCs/>
          <w:sz w:val="23"/>
          <w:szCs w:val="23"/>
          <w:lang w:val="en-US"/>
        </w:rPr>
        <w:t xml:space="preserve"> presence in </w:t>
      </w:r>
      <w:r w:rsidR="00E505E4" w:rsidRPr="009A017B">
        <w:rPr>
          <w:rFonts w:ascii="Arial" w:eastAsia="宋体" w:hAnsi="Arial" w:cs="Arial"/>
          <w:bCs/>
          <w:sz w:val="23"/>
          <w:szCs w:val="23"/>
          <w:lang w:val="en-US"/>
        </w:rPr>
        <w:t>primary and secondary housing market. The Company recorded a balance of residential mortgage loans of RMB1,369.270 billion, representing a decrease of 0.76% as compared with the end of the previous year. With a strengthened focus on risk management, the Company increased the issuance of micro-finance loan</w:t>
      </w:r>
      <w:r w:rsidR="00DD552E" w:rsidRPr="009A017B">
        <w:rPr>
          <w:rFonts w:ascii="Arial" w:eastAsia="宋体" w:hAnsi="Arial" w:cs="Arial"/>
          <w:bCs/>
          <w:sz w:val="23"/>
          <w:szCs w:val="23"/>
          <w:lang w:val="en-US"/>
        </w:rPr>
        <w:t>s</w:t>
      </w:r>
      <w:r w:rsidR="00E505E4" w:rsidRPr="009A017B">
        <w:rPr>
          <w:rFonts w:ascii="Arial" w:eastAsia="宋体" w:hAnsi="Arial" w:cs="Arial"/>
          <w:bCs/>
          <w:sz w:val="23"/>
          <w:szCs w:val="23"/>
          <w:lang w:val="en-US"/>
        </w:rPr>
        <w:t xml:space="preserve"> and </w:t>
      </w:r>
      <w:r w:rsidR="00DD552E" w:rsidRPr="009A017B">
        <w:rPr>
          <w:rFonts w:ascii="Arial" w:eastAsia="宋体" w:hAnsi="Arial" w:cs="Arial"/>
          <w:bCs/>
          <w:sz w:val="23"/>
          <w:szCs w:val="23"/>
          <w:lang w:val="en-US"/>
        </w:rPr>
        <w:t>consumer loans. The balance of retail micro-finance loans amounted to RMB709.306billion, representing an increase of 12.65% as compared with the end of the previous year. The balance of consumer loans amounted to RMB272.351 billion, up by 34.68% as compared with the end of the previous year. Credit card business remained stable. The credit card transactions of the Company amounted to RMB2,371.981 billion, representing a decrease of 0.67% as compared with the same period of the previous year. Interest income from credit cards amounted to RMB31.326 billion, representing a decrease of 0.31% as compared with the same period of the previous year. Non-interest income from credit cards amounted to RMB13.909 billion, representing a decrease of 0.83% as compared with the same period of the previous year.</w:t>
      </w:r>
    </w:p>
    <w:p w14:paraId="24DA1D08" w14:textId="77777777" w:rsidR="00787228" w:rsidRPr="009A017B" w:rsidRDefault="00787228" w:rsidP="00F639DD">
      <w:pPr>
        <w:widowControl w:val="0"/>
        <w:autoSpaceDE w:val="0"/>
        <w:autoSpaceDN w:val="0"/>
        <w:adjustRightInd w:val="0"/>
        <w:spacing w:after="0" w:line="240" w:lineRule="auto"/>
        <w:ind w:left="360"/>
        <w:jc w:val="both"/>
        <w:rPr>
          <w:rFonts w:ascii="Arial" w:eastAsia="宋体" w:hAnsi="Arial" w:cs="Arial"/>
          <w:bCs/>
          <w:sz w:val="23"/>
          <w:szCs w:val="23"/>
          <w:lang w:val="en-US"/>
        </w:rPr>
      </w:pPr>
    </w:p>
    <w:p w14:paraId="3F0C5702" w14:textId="27F8A542" w:rsidR="00DD552E" w:rsidRPr="009A017B" w:rsidRDefault="0059662B" w:rsidP="009A017B">
      <w:pPr>
        <w:widowControl w:val="0"/>
        <w:numPr>
          <w:ilvl w:val="0"/>
          <w:numId w:val="5"/>
        </w:numPr>
        <w:spacing w:after="0" w:line="240" w:lineRule="auto"/>
        <w:ind w:left="426" w:hanging="426"/>
        <w:jc w:val="both"/>
        <w:rPr>
          <w:rFonts w:ascii="Arial" w:eastAsia="宋体" w:hAnsi="Arial" w:cs="Arial"/>
          <w:b/>
          <w:bCs/>
          <w:kern w:val="2"/>
          <w:sz w:val="23"/>
          <w:szCs w:val="23"/>
          <w:lang w:val="en-US"/>
        </w:rPr>
      </w:pPr>
      <w:r>
        <w:rPr>
          <w:rFonts w:ascii="Arial" w:eastAsia="宋体" w:hAnsi="Arial" w:cs="Arial"/>
          <w:b/>
          <w:bCs/>
          <w:kern w:val="2"/>
          <w:sz w:val="23"/>
          <w:szCs w:val="23"/>
          <w:lang w:val="en-US"/>
        </w:rPr>
        <w:lastRenderedPageBreak/>
        <w:t>S</w:t>
      </w:r>
      <w:r w:rsidR="00845F8E" w:rsidRPr="00845F8E">
        <w:rPr>
          <w:rFonts w:ascii="Arial" w:eastAsia="宋体" w:hAnsi="Arial" w:cs="Arial"/>
          <w:b/>
          <w:bCs/>
          <w:kern w:val="2"/>
          <w:sz w:val="23"/>
          <w:szCs w:val="23"/>
          <w:lang w:val="en-US"/>
        </w:rPr>
        <w:t>trengthened differentiated advantages of corporate finance</w:t>
      </w:r>
    </w:p>
    <w:p w14:paraId="6FE2B15E" w14:textId="0A71A138" w:rsidR="00AE1D92" w:rsidRPr="00475009" w:rsidRDefault="00845F8E" w:rsidP="00475009">
      <w:pPr>
        <w:widowControl w:val="0"/>
        <w:autoSpaceDE w:val="0"/>
        <w:autoSpaceDN w:val="0"/>
        <w:adjustRightInd w:val="0"/>
        <w:spacing w:after="0" w:line="240" w:lineRule="auto"/>
        <w:ind w:left="360"/>
        <w:jc w:val="both"/>
        <w:rPr>
          <w:rFonts w:ascii="Arial" w:eastAsia="宋体" w:hAnsi="Arial" w:cs="Arial"/>
          <w:bCs/>
          <w:sz w:val="23"/>
          <w:szCs w:val="23"/>
          <w:lang w:val="en-US"/>
        </w:rPr>
      </w:pPr>
      <w:r w:rsidRPr="00475009">
        <w:rPr>
          <w:rFonts w:ascii="Arial" w:eastAsia="宋体" w:hAnsi="Arial" w:cs="Arial"/>
          <w:b/>
          <w:sz w:val="23"/>
          <w:szCs w:val="23"/>
          <w:lang w:val="en-US"/>
        </w:rPr>
        <w:t xml:space="preserve">The Company continued to iterate and </w:t>
      </w:r>
      <w:proofErr w:type="spellStart"/>
      <w:r w:rsidRPr="00475009">
        <w:rPr>
          <w:rFonts w:ascii="Arial" w:eastAsia="宋体" w:hAnsi="Arial" w:cs="Arial"/>
          <w:b/>
          <w:sz w:val="23"/>
          <w:szCs w:val="23"/>
          <w:lang w:val="en-US"/>
        </w:rPr>
        <w:t>optimise</w:t>
      </w:r>
      <w:proofErr w:type="spellEnd"/>
      <w:r w:rsidRPr="00475009">
        <w:rPr>
          <w:rFonts w:ascii="Arial" w:eastAsia="宋体" w:hAnsi="Arial" w:cs="Arial"/>
          <w:b/>
          <w:sz w:val="23"/>
          <w:szCs w:val="23"/>
          <w:lang w:val="en-US"/>
        </w:rPr>
        <w:t xml:space="preserve"> the segmentation and classification service system to adjust customer mix and business structure.</w:t>
      </w:r>
      <w:r w:rsidR="001C0202" w:rsidRPr="00475009">
        <w:rPr>
          <w:rFonts w:ascii="Arial" w:eastAsia="宋体" w:hAnsi="Arial" w:cs="Arial"/>
          <w:b/>
          <w:sz w:val="23"/>
          <w:szCs w:val="23"/>
          <w:lang w:val="en-US"/>
        </w:rPr>
        <w:t xml:space="preserve"> </w:t>
      </w:r>
      <w:r w:rsidR="00AE1D92" w:rsidRPr="00475009">
        <w:rPr>
          <w:rFonts w:ascii="Arial" w:eastAsia="宋体" w:hAnsi="Arial" w:cs="Arial"/>
          <w:bCs/>
          <w:sz w:val="23"/>
          <w:szCs w:val="23"/>
          <w:lang w:val="en-US"/>
        </w:rPr>
        <w:t>As of the end of the reporting period, the total number of corporate customers of the Company was 2,648,500, representing an increase of 4.85% as compared with the end of the previous year. The number of newly acquired corporate customers during the reporting period was 229,000, contributing daily average deposits of RMB76.776 billion. Among them, 10,200 corporate depositors with daily average deposits of more than RMB500,000 were newly acquired. The Company’s balance of aggregate financing products to corporate customers (FPA) was RMB5,497.700 billion</w:t>
      </w:r>
      <w:r w:rsidR="00AE1D92" w:rsidRPr="00475009">
        <w:rPr>
          <w:sz w:val="24"/>
          <w:szCs w:val="24"/>
          <w:vertAlign w:val="superscript"/>
        </w:rPr>
        <w:footnoteReference w:id="1"/>
      </w:r>
      <w:r w:rsidR="00AE1D92" w:rsidRPr="00475009">
        <w:rPr>
          <w:rFonts w:ascii="Arial" w:eastAsia="宋体" w:hAnsi="Arial" w:cs="Arial"/>
          <w:bCs/>
          <w:sz w:val="23"/>
          <w:szCs w:val="23"/>
          <w:lang w:val="en-US"/>
        </w:rPr>
        <w:t>, representing an increase of RMB409.573 billion as compared with the beginning of the year. Corporate customer deposit balance was RMB4,599.771 billion, representing an increase of 6.51% as compared with the end of the previous year. The daily average balance was RMB4,498.911 billion, representing an increase of 5.63% as compared with the previous year.</w:t>
      </w:r>
      <w:r w:rsidR="001C0202" w:rsidRPr="00475009">
        <w:rPr>
          <w:rFonts w:ascii="Arial" w:eastAsia="宋体" w:hAnsi="Arial" w:cs="Arial"/>
          <w:bCs/>
          <w:sz w:val="23"/>
          <w:szCs w:val="23"/>
          <w:lang w:val="en-US"/>
        </w:rPr>
        <w:t xml:space="preserve"> </w:t>
      </w:r>
    </w:p>
    <w:p w14:paraId="3E20DE0A" w14:textId="77777777" w:rsidR="00AE1D92" w:rsidRPr="009A017B" w:rsidRDefault="00AE1D92" w:rsidP="00F639DD">
      <w:pPr>
        <w:widowControl w:val="0"/>
        <w:autoSpaceDE w:val="0"/>
        <w:autoSpaceDN w:val="0"/>
        <w:adjustRightInd w:val="0"/>
        <w:spacing w:after="0" w:line="240" w:lineRule="auto"/>
        <w:ind w:left="360"/>
        <w:jc w:val="both"/>
        <w:rPr>
          <w:rFonts w:ascii="Arial" w:eastAsia="宋体" w:hAnsi="Arial" w:cs="Arial"/>
          <w:bCs/>
          <w:sz w:val="23"/>
          <w:szCs w:val="23"/>
          <w:lang w:val="en-US"/>
        </w:rPr>
      </w:pPr>
    </w:p>
    <w:p w14:paraId="00BC84FE" w14:textId="47BEC032" w:rsidR="00AE1D92" w:rsidRPr="009A017B" w:rsidRDefault="00845F8E" w:rsidP="002F1005">
      <w:pPr>
        <w:widowControl w:val="0"/>
        <w:autoSpaceDE w:val="0"/>
        <w:autoSpaceDN w:val="0"/>
        <w:adjustRightInd w:val="0"/>
        <w:spacing w:after="0" w:line="240" w:lineRule="auto"/>
        <w:ind w:left="360"/>
        <w:jc w:val="both"/>
        <w:rPr>
          <w:rFonts w:ascii="Arial" w:eastAsia="宋体" w:hAnsi="Arial" w:cs="Arial"/>
          <w:bCs/>
          <w:sz w:val="23"/>
          <w:szCs w:val="23"/>
          <w:lang w:val="en-HK"/>
        </w:rPr>
      </w:pPr>
      <w:r w:rsidRPr="00845F8E">
        <w:rPr>
          <w:rFonts w:ascii="Arial" w:eastAsia="宋体" w:hAnsi="Arial" w:cs="Arial"/>
          <w:b/>
          <w:sz w:val="23"/>
          <w:szCs w:val="23"/>
          <w:lang w:val="en-US"/>
        </w:rPr>
        <w:t>We continued to build up distinctive advantages to proactively serve customers in an efficient manner</w:t>
      </w:r>
      <w:r w:rsidR="001C0202" w:rsidRPr="009A017B">
        <w:rPr>
          <w:rFonts w:ascii="Arial" w:eastAsia="宋体" w:hAnsi="Arial" w:cs="Arial"/>
          <w:b/>
          <w:sz w:val="23"/>
          <w:szCs w:val="23"/>
          <w:lang w:val="en-US"/>
        </w:rPr>
        <w:t>.</w:t>
      </w:r>
      <w:r w:rsidR="002C3262" w:rsidRPr="009A017B">
        <w:rPr>
          <w:rFonts w:ascii="Arial" w:eastAsia="宋体" w:hAnsi="Arial" w:cs="Arial"/>
          <w:b/>
          <w:sz w:val="23"/>
          <w:szCs w:val="23"/>
          <w:lang w:val="en-US"/>
        </w:rPr>
        <w:t xml:space="preserve"> </w:t>
      </w:r>
      <w:r w:rsidR="002C3262" w:rsidRPr="009A017B">
        <w:rPr>
          <w:rFonts w:ascii="Arial" w:eastAsia="宋体" w:hAnsi="Arial" w:cs="Arial"/>
          <w:bCs/>
          <w:sz w:val="23"/>
          <w:szCs w:val="23"/>
          <w:lang w:val="en-US"/>
        </w:rPr>
        <w:t>In terms of transaction banking business, as at the end of the reporting period, the number of customers of Treasury Management Cloud services reached 254,800, representing an increase of 41.34% as compared with the end of the previous year. The letters and certificates issuance business transactions of the Company amounted to RMB250.464 billion, representing a year-on-year increase of 59.04%. The domestic trade financing business volume amounted to RMB584.647 billion, representing a year-on-year increase of 56.17%. In terms of cross-border business, the Company’s goods trade of corporate finance in respect of international settlement amounted to USD81.303 billion, representing a year-on-year increase of 10.45%. In terms of supply chain finance business, the Company has launched a total of 261 projects of “</w:t>
      </w:r>
      <w:r w:rsidR="002C3262" w:rsidRPr="009A017B">
        <w:rPr>
          <w:rFonts w:ascii="Arial" w:eastAsia="宋体" w:hAnsi="Arial" w:cs="Arial"/>
          <w:bCs/>
          <w:sz w:val="23"/>
          <w:szCs w:val="23"/>
          <w:lang w:val="en-HK"/>
        </w:rPr>
        <w:t>“One Entire Bank for One Customer</w:t>
      </w:r>
      <w:r w:rsidR="002C3262" w:rsidRPr="009A017B">
        <w:rPr>
          <w:rFonts w:ascii="Arial" w:eastAsia="宋体" w:hAnsi="Arial" w:cs="Arial"/>
          <w:bCs/>
          <w:sz w:val="23"/>
          <w:szCs w:val="23"/>
          <w:lang w:val="en-US"/>
        </w:rPr>
        <w:t>”, extended its services to 28,271 small- and medium-sized enterprises, of which 23,783 enterprises were granted financing support, with the total amount of loans granted of RMB313.198 billion.</w:t>
      </w:r>
      <w:r w:rsidR="00984B9D" w:rsidRPr="009A017B">
        <w:rPr>
          <w:rFonts w:ascii="Arial" w:eastAsia="宋体" w:hAnsi="Arial" w:cs="Arial"/>
          <w:bCs/>
          <w:sz w:val="23"/>
          <w:szCs w:val="23"/>
          <w:lang w:val="en-US"/>
        </w:rPr>
        <w:t xml:space="preserve"> </w:t>
      </w:r>
    </w:p>
    <w:p w14:paraId="0D4E5EF8" w14:textId="77777777" w:rsidR="00AE1D92" w:rsidRPr="009A017B" w:rsidRDefault="00AE1D92" w:rsidP="00F639DD">
      <w:pPr>
        <w:widowControl w:val="0"/>
        <w:autoSpaceDE w:val="0"/>
        <w:autoSpaceDN w:val="0"/>
        <w:adjustRightInd w:val="0"/>
        <w:spacing w:after="0" w:line="240" w:lineRule="auto"/>
        <w:ind w:left="360"/>
        <w:jc w:val="both"/>
        <w:rPr>
          <w:rFonts w:ascii="Arial" w:eastAsia="宋体" w:hAnsi="Arial" w:cs="Arial"/>
          <w:bCs/>
          <w:sz w:val="23"/>
          <w:szCs w:val="23"/>
          <w:lang w:val="en-US"/>
        </w:rPr>
      </w:pPr>
    </w:p>
    <w:p w14:paraId="7494207C" w14:textId="4EC8A85F" w:rsidR="002C3262" w:rsidRPr="009A017B" w:rsidRDefault="00845F8E" w:rsidP="002C3262">
      <w:pPr>
        <w:widowControl w:val="0"/>
        <w:numPr>
          <w:ilvl w:val="0"/>
          <w:numId w:val="5"/>
        </w:numPr>
        <w:spacing w:after="0" w:line="240" w:lineRule="auto"/>
        <w:ind w:left="426" w:hanging="426"/>
        <w:jc w:val="both"/>
        <w:rPr>
          <w:rFonts w:ascii="Arial" w:eastAsia="宋体" w:hAnsi="Arial" w:cs="Arial"/>
          <w:b/>
          <w:bCs/>
          <w:kern w:val="2"/>
          <w:sz w:val="23"/>
          <w:szCs w:val="23"/>
          <w:lang w:val="en-US"/>
        </w:rPr>
      </w:pPr>
      <w:r w:rsidRPr="00845F8E">
        <w:rPr>
          <w:rFonts w:ascii="Arial" w:eastAsia="宋体" w:hAnsi="Arial" w:cs="Arial"/>
          <w:b/>
          <w:bCs/>
          <w:kern w:val="2"/>
          <w:sz w:val="23"/>
          <w:szCs w:val="23"/>
          <w:lang w:val="en-US"/>
        </w:rPr>
        <w:t>Improv</w:t>
      </w:r>
      <w:r w:rsidR="00BF096D">
        <w:rPr>
          <w:rFonts w:ascii="Arial" w:eastAsia="宋体" w:hAnsi="Arial" w:cs="Arial"/>
          <w:b/>
          <w:bCs/>
          <w:kern w:val="2"/>
          <w:sz w:val="23"/>
          <w:szCs w:val="23"/>
          <w:lang w:val="en-US"/>
        </w:rPr>
        <w:t>ing</w:t>
      </w:r>
      <w:r w:rsidRPr="00845F8E">
        <w:rPr>
          <w:rFonts w:ascii="Arial" w:eastAsia="宋体" w:hAnsi="Arial" w:cs="Arial"/>
          <w:b/>
          <w:bCs/>
          <w:kern w:val="2"/>
          <w:sz w:val="23"/>
          <w:szCs w:val="23"/>
          <w:lang w:val="en-US"/>
        </w:rPr>
        <w:t xml:space="preserve"> professionalism of investment banking and financial markets business</w:t>
      </w:r>
    </w:p>
    <w:p w14:paraId="4C904CAC" w14:textId="3A547BA8" w:rsidR="002C3262" w:rsidRPr="009A017B" w:rsidRDefault="00984B9D" w:rsidP="00984B9D">
      <w:pPr>
        <w:widowControl w:val="0"/>
        <w:autoSpaceDE w:val="0"/>
        <w:autoSpaceDN w:val="0"/>
        <w:adjustRightInd w:val="0"/>
        <w:spacing w:after="0" w:line="240" w:lineRule="auto"/>
        <w:ind w:left="360"/>
        <w:jc w:val="both"/>
        <w:rPr>
          <w:rFonts w:ascii="Arial" w:eastAsia="宋体" w:hAnsi="Arial" w:cs="Arial"/>
          <w:bCs/>
          <w:sz w:val="23"/>
          <w:szCs w:val="23"/>
          <w:lang w:val="en-HK"/>
        </w:rPr>
      </w:pPr>
      <w:r w:rsidRPr="009A017B">
        <w:rPr>
          <w:rFonts w:ascii="Arial" w:eastAsia="宋体" w:hAnsi="Arial" w:cs="Arial"/>
          <w:bCs/>
          <w:sz w:val="23"/>
          <w:szCs w:val="23"/>
          <w:lang w:val="en-US"/>
        </w:rPr>
        <w:t xml:space="preserve">The Company continuously improved its business capabilities in terms of bond underwriting and M&amp;A financing. The self-operated investment and research systems of the financial markets business were continuously improved, and the advantages of the </w:t>
      </w:r>
      <w:proofErr w:type="spellStart"/>
      <w:r w:rsidRPr="009A017B">
        <w:rPr>
          <w:rFonts w:ascii="Arial" w:eastAsia="宋体" w:hAnsi="Arial" w:cs="Arial"/>
          <w:bCs/>
          <w:sz w:val="23"/>
          <w:szCs w:val="23"/>
          <w:lang w:val="en-US"/>
        </w:rPr>
        <w:t>tradings</w:t>
      </w:r>
      <w:proofErr w:type="spellEnd"/>
      <w:r w:rsidRPr="009A017B">
        <w:rPr>
          <w:rFonts w:ascii="Arial" w:eastAsia="宋体" w:hAnsi="Arial" w:cs="Arial"/>
          <w:bCs/>
          <w:sz w:val="23"/>
          <w:szCs w:val="23"/>
          <w:lang w:val="en-US"/>
        </w:rPr>
        <w:t xml:space="preserve"> on behalf of customers were further consolidated. In terms of investment banking </w:t>
      </w:r>
      <w:r w:rsidRPr="009A017B">
        <w:rPr>
          <w:rFonts w:ascii="Arial" w:eastAsia="宋体" w:hAnsi="Arial" w:cs="Arial"/>
          <w:bCs/>
          <w:sz w:val="23"/>
          <w:szCs w:val="23"/>
          <w:lang w:val="en-US"/>
        </w:rPr>
        <w:lastRenderedPageBreak/>
        <w:t>business, the debt financing instruments with the Company as the lead underwriter amounted to RMB321.464 billion, ranked third among its industry peers (based on the data from the National Association of Financial Market Institutional Investors), representing a year-on-year increase of 4.26%. Among them, the size of perpetual bonds ranked first among its industry peers, the size of green bonds and science and technology innovation notes ranked second among its industry peers, and the size of Asset-Backed Note (ABN) ranked third among its industry peers.</w:t>
      </w:r>
      <w:r w:rsidR="00E82098" w:rsidRPr="009A017B">
        <w:rPr>
          <w:rFonts w:ascii="Arial" w:eastAsia="宋体" w:hAnsi="Arial" w:cs="Arial"/>
          <w:bCs/>
          <w:sz w:val="23"/>
          <w:szCs w:val="23"/>
          <w:lang w:val="en-US"/>
        </w:rPr>
        <w:t xml:space="preserve"> T</w:t>
      </w:r>
      <w:r w:rsidR="00E82098" w:rsidRPr="009A017B">
        <w:rPr>
          <w:rFonts w:ascii="Arial" w:eastAsia="宋体" w:hAnsi="Arial" w:cs="Arial"/>
          <w:bCs/>
          <w:sz w:val="23"/>
          <w:szCs w:val="23"/>
          <w:lang w:val="en-HK"/>
        </w:rPr>
        <w:t xml:space="preserve">he Company’s M&amp;A financing amounted to RMB133.380 billion, representing a year-on-year increase of 14.13%. Many major projects with market influence were implemented, which enhanced the brand influence of the Company in the M&amp;A market. In terms of bill business, affected by a decline in the overall business volume of the bill market, the volume of direct bill discounting business was RMB701.441 billion, representing a year-on-year decrease of 16.88%, still ranking second (data from the China Banking Association), of which the volume of commercial acceptance bill discounting business was RMB82.637 billion, ranking first (data from the Commercial Bank Bill Business Association). In terms of finance markets business, the transaction volume of RMB bond investments amounted to RMB1.38 trillion, representing a year-on-year increase of 15.76%. The Company provided hedging services to 3,019 companies with a total transaction volume of USD29.639 billion. The Company provided online derivative trading services to 2,596 corporate clients, with a total transaction volume of USD11.976 </w:t>
      </w:r>
      <w:r w:rsidR="00E82098" w:rsidRPr="009D3320">
        <w:rPr>
          <w:rFonts w:ascii="Arial" w:eastAsia="宋体" w:hAnsi="Arial" w:cs="Arial"/>
          <w:bCs/>
          <w:sz w:val="23"/>
          <w:szCs w:val="23"/>
          <w:lang w:val="en-HK"/>
        </w:rPr>
        <w:t xml:space="preserve">billion. </w:t>
      </w:r>
      <w:r w:rsidR="00E82098" w:rsidRPr="006468D7">
        <w:rPr>
          <w:rFonts w:ascii="Arial" w:eastAsia="宋体" w:hAnsi="Arial" w:cs="Arial"/>
          <w:bCs/>
          <w:sz w:val="23"/>
          <w:szCs w:val="23"/>
          <w:lang w:val="en-HK"/>
        </w:rPr>
        <w:t>The Company’s online sales of third-party asset management products through “Zhao Ying Tong (</w:t>
      </w:r>
      <w:r w:rsidR="00E82098" w:rsidRPr="006468D7">
        <w:rPr>
          <w:rFonts w:ascii="Arial" w:eastAsia="宋体" w:hAnsi="Arial" w:cs="Arial" w:hint="eastAsia"/>
          <w:bCs/>
          <w:sz w:val="23"/>
          <w:szCs w:val="23"/>
          <w:lang w:val="en-HK"/>
        </w:rPr>
        <w:t>招贏通</w:t>
      </w:r>
      <w:r w:rsidR="00E82098" w:rsidRPr="006468D7">
        <w:rPr>
          <w:rFonts w:ascii="Arial" w:eastAsia="宋体" w:hAnsi="Arial" w:cs="Arial"/>
          <w:bCs/>
          <w:sz w:val="23"/>
          <w:szCs w:val="23"/>
          <w:lang w:val="en-HK"/>
        </w:rPr>
        <w:t>)”, an interbank online service platform, amounted to RMB429.831 billion, representing a year-on-year increase of 8.78%.</w:t>
      </w:r>
    </w:p>
    <w:p w14:paraId="0DD35158" w14:textId="77777777" w:rsidR="00E82098" w:rsidRPr="009A017B" w:rsidRDefault="00E82098" w:rsidP="00984B9D">
      <w:pPr>
        <w:widowControl w:val="0"/>
        <w:autoSpaceDE w:val="0"/>
        <w:autoSpaceDN w:val="0"/>
        <w:adjustRightInd w:val="0"/>
        <w:spacing w:after="0" w:line="240" w:lineRule="auto"/>
        <w:ind w:left="360"/>
        <w:jc w:val="both"/>
        <w:rPr>
          <w:rFonts w:ascii="Arial" w:eastAsia="宋体" w:hAnsi="Arial" w:cs="Arial"/>
          <w:bCs/>
          <w:sz w:val="23"/>
          <w:szCs w:val="23"/>
          <w:lang w:val="en-HK"/>
        </w:rPr>
      </w:pPr>
    </w:p>
    <w:p w14:paraId="06D152F9" w14:textId="16B4FF41" w:rsidR="00E82098" w:rsidRPr="009A017B" w:rsidRDefault="0059662B" w:rsidP="009A017B">
      <w:pPr>
        <w:widowControl w:val="0"/>
        <w:numPr>
          <w:ilvl w:val="0"/>
          <w:numId w:val="5"/>
        </w:numPr>
        <w:spacing w:after="0" w:line="240" w:lineRule="auto"/>
        <w:ind w:left="426" w:hanging="426"/>
        <w:jc w:val="both"/>
        <w:rPr>
          <w:rFonts w:ascii="Arial" w:eastAsia="宋体" w:hAnsi="Arial" w:cs="Arial"/>
          <w:b/>
          <w:bCs/>
          <w:kern w:val="2"/>
          <w:sz w:val="23"/>
          <w:szCs w:val="23"/>
          <w:lang w:val="en-US"/>
        </w:rPr>
      </w:pPr>
      <w:r w:rsidRPr="0059662B">
        <w:rPr>
          <w:rFonts w:ascii="Arial" w:eastAsia="宋体" w:hAnsi="Arial" w:cs="Arial"/>
          <w:b/>
          <w:bCs/>
          <w:kern w:val="2"/>
          <w:sz w:val="23"/>
          <w:szCs w:val="23"/>
          <w:lang w:val="en-US"/>
        </w:rPr>
        <w:t>Steady development of the extensive wealth management business</w:t>
      </w:r>
    </w:p>
    <w:p w14:paraId="25ABDAAD" w14:textId="02F01AFC" w:rsidR="00D56FA1" w:rsidRPr="009A017B" w:rsidRDefault="00845F8E" w:rsidP="00F639DD">
      <w:pPr>
        <w:widowControl w:val="0"/>
        <w:autoSpaceDE w:val="0"/>
        <w:autoSpaceDN w:val="0"/>
        <w:adjustRightInd w:val="0"/>
        <w:spacing w:after="0" w:line="240" w:lineRule="auto"/>
        <w:ind w:left="360"/>
        <w:jc w:val="both"/>
        <w:rPr>
          <w:rFonts w:ascii="Arial" w:eastAsia="宋体" w:hAnsi="Arial" w:cs="Arial"/>
          <w:bCs/>
          <w:sz w:val="23"/>
          <w:szCs w:val="23"/>
          <w:lang w:val="en-HK"/>
        </w:rPr>
      </w:pPr>
      <w:r>
        <w:rPr>
          <w:rFonts w:ascii="Arial" w:eastAsia="宋体" w:hAnsi="Arial" w:cs="Arial"/>
          <w:b/>
          <w:sz w:val="23"/>
          <w:szCs w:val="23"/>
          <w:lang w:val="en-US"/>
        </w:rPr>
        <w:t>T</w:t>
      </w:r>
      <w:r w:rsidRPr="00845F8E">
        <w:rPr>
          <w:rFonts w:ascii="Arial" w:eastAsia="宋体" w:hAnsi="Arial" w:cs="Arial"/>
          <w:b/>
          <w:sz w:val="23"/>
          <w:szCs w:val="23"/>
          <w:lang w:val="en-US"/>
        </w:rPr>
        <w:t>he balance of AUM for retail customers grew steadily</w:t>
      </w:r>
      <w:r w:rsidR="00D56FA1" w:rsidRPr="009A017B">
        <w:rPr>
          <w:rFonts w:ascii="Arial" w:eastAsia="宋体" w:hAnsi="Arial" w:cs="Arial"/>
          <w:b/>
          <w:sz w:val="23"/>
          <w:szCs w:val="23"/>
          <w:lang w:val="en-US"/>
        </w:rPr>
        <w:t>.</w:t>
      </w:r>
      <w:r w:rsidR="00D56FA1" w:rsidRPr="009A017B">
        <w:rPr>
          <w:rFonts w:ascii="Arial" w:eastAsia="宋体" w:hAnsi="Arial" w:cs="Arial"/>
          <w:bCs/>
          <w:sz w:val="23"/>
          <w:szCs w:val="23"/>
          <w:lang w:val="en-US"/>
        </w:rPr>
        <w:t xml:space="preserve"> As at the end of the reporting period, the balance of total assets under management (AUM) for retail customers of the Company amounted to RMB12.84 trillion, representing an increase of 5.90% as compared with the end of the previous year. The Company’s balance of retail wealth management products amounted to RMB3,239.238 billion, representing an increase of 3.21% as compared with the end of the previous year. The Company achieved the sales of agency insurance premiums of RMB57.394 billion, representing an increase of 54.88% year-on-year. the number of customers holding our wealth management products reached 46,633,400, representing an increase of 8.12% as compared with the end of the previous year. The number of customers</w:t>
      </w:r>
      <w:r w:rsidR="00D56FA1" w:rsidRPr="009A017B">
        <w:rPr>
          <w:rStyle w:val="ae"/>
          <w:rFonts w:ascii="Arial" w:eastAsia="宋体" w:hAnsi="Arial" w:cs="Arial"/>
          <w:bCs/>
          <w:sz w:val="23"/>
          <w:szCs w:val="23"/>
          <w:lang w:val="en-US"/>
        </w:rPr>
        <w:footnoteReference w:id="2"/>
      </w:r>
      <w:r w:rsidR="00D56FA1" w:rsidRPr="009A017B">
        <w:rPr>
          <w:rFonts w:ascii="Arial" w:eastAsia="宋体" w:hAnsi="Arial" w:cs="Arial"/>
          <w:bCs/>
          <w:sz w:val="23"/>
          <w:szCs w:val="23"/>
          <w:lang w:val="en-US"/>
        </w:rPr>
        <w:t xml:space="preserve"> who conducted asset allocation under the “CMB TREE Asset Allocation Service System” reached 8,651,400, representing an increase of 6.45% as compared with the end of the previous year. The number of transactions of the family </w:t>
      </w:r>
      <w:r w:rsidR="00D56FA1" w:rsidRPr="009A017B">
        <w:rPr>
          <w:rFonts w:ascii="Arial" w:eastAsia="宋体" w:hAnsi="Arial" w:cs="Arial"/>
          <w:bCs/>
          <w:sz w:val="23"/>
          <w:szCs w:val="23"/>
          <w:lang w:val="en-US"/>
        </w:rPr>
        <w:lastRenderedPageBreak/>
        <w:t>trust business exceeded 10,000, with the business scale increased by 22.79% as compared with the end of the previous year. CMB APP “Zhao Cai Hao(</w:t>
      </w:r>
      <w:r w:rsidR="00D56FA1" w:rsidRPr="009A017B">
        <w:rPr>
          <w:rFonts w:ascii="Arial" w:eastAsia="宋体" w:hAnsi="Arial" w:cs="Arial" w:hint="eastAsia"/>
          <w:bCs/>
          <w:sz w:val="23"/>
          <w:szCs w:val="23"/>
          <w:lang w:val="en-US"/>
        </w:rPr>
        <w:t>招財號</w:t>
      </w:r>
      <w:r w:rsidR="00D56FA1" w:rsidRPr="009A017B">
        <w:rPr>
          <w:rFonts w:ascii="Arial" w:eastAsia="宋体" w:hAnsi="Arial" w:cs="Arial"/>
          <w:bCs/>
          <w:sz w:val="23"/>
          <w:szCs w:val="23"/>
          <w:lang w:val="en-US"/>
        </w:rPr>
        <w:t>)” had a total of 22,120,000 followers. 144 asset management agencies with industrial representativeness settled in “Zhao Cai Hao(</w:t>
      </w:r>
      <w:r w:rsidR="00D56FA1" w:rsidRPr="009A017B">
        <w:rPr>
          <w:rFonts w:ascii="Arial" w:eastAsia="宋体" w:hAnsi="Arial" w:cs="Arial" w:hint="eastAsia"/>
          <w:bCs/>
          <w:sz w:val="23"/>
          <w:szCs w:val="23"/>
          <w:lang w:val="en-US"/>
        </w:rPr>
        <w:t>招財號</w:t>
      </w:r>
      <w:r w:rsidR="00D56FA1" w:rsidRPr="009A017B">
        <w:rPr>
          <w:rFonts w:ascii="Arial" w:eastAsia="宋体" w:hAnsi="Arial" w:cs="Arial"/>
          <w:bCs/>
          <w:sz w:val="23"/>
          <w:szCs w:val="23"/>
          <w:lang w:val="en-US"/>
        </w:rPr>
        <w:t xml:space="preserve">)”. </w:t>
      </w:r>
    </w:p>
    <w:p w14:paraId="2488DBD7" w14:textId="77777777" w:rsidR="00D56FA1" w:rsidRPr="009A017B" w:rsidRDefault="00D56FA1" w:rsidP="00F639DD">
      <w:pPr>
        <w:widowControl w:val="0"/>
        <w:autoSpaceDE w:val="0"/>
        <w:autoSpaceDN w:val="0"/>
        <w:adjustRightInd w:val="0"/>
        <w:spacing w:after="0" w:line="240" w:lineRule="auto"/>
        <w:ind w:left="360"/>
        <w:jc w:val="both"/>
        <w:rPr>
          <w:rFonts w:ascii="Arial" w:eastAsia="宋体" w:hAnsi="Arial" w:cs="Arial"/>
          <w:bCs/>
          <w:sz w:val="23"/>
          <w:szCs w:val="23"/>
          <w:lang w:val="en-US"/>
        </w:rPr>
      </w:pPr>
    </w:p>
    <w:p w14:paraId="456AC16D" w14:textId="57DA5316" w:rsidR="00D56FA1" w:rsidRPr="009A017B" w:rsidRDefault="00845F8E" w:rsidP="00F639DD">
      <w:pPr>
        <w:widowControl w:val="0"/>
        <w:autoSpaceDE w:val="0"/>
        <w:autoSpaceDN w:val="0"/>
        <w:adjustRightInd w:val="0"/>
        <w:spacing w:after="0" w:line="240" w:lineRule="auto"/>
        <w:ind w:left="360"/>
        <w:jc w:val="both"/>
        <w:rPr>
          <w:rFonts w:ascii="Arial" w:eastAsia="宋体" w:hAnsi="Arial" w:cs="Arial"/>
          <w:b/>
          <w:sz w:val="23"/>
          <w:szCs w:val="23"/>
          <w:lang w:val="en-HK"/>
        </w:rPr>
      </w:pPr>
      <w:r>
        <w:rPr>
          <w:rFonts w:ascii="Arial" w:eastAsia="宋体" w:hAnsi="Arial" w:cs="Arial"/>
          <w:b/>
          <w:sz w:val="23"/>
          <w:szCs w:val="23"/>
          <w:lang w:val="en-US"/>
        </w:rPr>
        <w:t>T</w:t>
      </w:r>
      <w:r w:rsidRPr="00845F8E">
        <w:rPr>
          <w:rFonts w:ascii="Arial" w:eastAsia="宋体" w:hAnsi="Arial" w:cs="Arial"/>
          <w:b/>
          <w:sz w:val="23"/>
          <w:szCs w:val="23"/>
          <w:lang w:val="en-US"/>
        </w:rPr>
        <w:t>he percentage of the balance of non-traditional financing to the balance of FPA to corporate customers remained stable.</w:t>
      </w:r>
      <w:r w:rsidR="00D367E1" w:rsidRPr="009A017B">
        <w:rPr>
          <w:rFonts w:ascii="Arial" w:eastAsia="宋体" w:hAnsi="Arial" w:cs="Arial"/>
          <w:b/>
          <w:sz w:val="23"/>
          <w:szCs w:val="23"/>
          <w:lang w:val="en-US"/>
        </w:rPr>
        <w:t xml:space="preserve"> </w:t>
      </w:r>
      <w:r w:rsidR="00D367E1" w:rsidRPr="009A017B">
        <w:rPr>
          <w:rFonts w:ascii="Arial" w:eastAsia="宋体" w:hAnsi="Arial" w:cs="Arial"/>
          <w:bCs/>
          <w:sz w:val="23"/>
          <w:szCs w:val="23"/>
          <w:lang w:val="en-US"/>
        </w:rPr>
        <w:t>As of the end of the reporting period, the balance of non- traditional financing</w:t>
      </w:r>
      <w:r w:rsidR="00D367E1" w:rsidRPr="009A017B">
        <w:rPr>
          <w:rStyle w:val="ae"/>
          <w:rFonts w:ascii="Arial" w:eastAsia="宋体" w:hAnsi="Arial" w:cs="Arial"/>
          <w:bCs/>
          <w:sz w:val="23"/>
          <w:szCs w:val="23"/>
          <w:lang w:val="en-US"/>
        </w:rPr>
        <w:footnoteReference w:id="3"/>
      </w:r>
      <w:r w:rsidR="00D367E1" w:rsidRPr="009A017B">
        <w:rPr>
          <w:rFonts w:ascii="Arial" w:eastAsia="宋体" w:hAnsi="Arial" w:cs="Arial"/>
          <w:bCs/>
          <w:sz w:val="23"/>
          <w:szCs w:val="23"/>
          <w:lang w:val="en-US"/>
        </w:rPr>
        <w:t xml:space="preserve"> in the Company’s balance of aggregate financing products to corporate customers (FPA) was RMB2,448.406 billion, representing an increase of RMB158.523 billion as compared with the beginning of the year. The balance of non-traditional financing accounted for 44.54% of the balance of FPA, representing a decrease of 0.46 percentage point as compared with the beginning of the year. </w:t>
      </w:r>
    </w:p>
    <w:p w14:paraId="3191A85D" w14:textId="77777777" w:rsidR="00D56FA1" w:rsidRPr="009A017B" w:rsidRDefault="00D56FA1" w:rsidP="00F639DD">
      <w:pPr>
        <w:widowControl w:val="0"/>
        <w:autoSpaceDE w:val="0"/>
        <w:autoSpaceDN w:val="0"/>
        <w:adjustRightInd w:val="0"/>
        <w:spacing w:after="0" w:line="240" w:lineRule="auto"/>
        <w:ind w:left="360"/>
        <w:jc w:val="both"/>
        <w:rPr>
          <w:rFonts w:ascii="Arial" w:eastAsia="宋体" w:hAnsi="Arial" w:cs="Arial"/>
          <w:bCs/>
          <w:sz w:val="23"/>
          <w:szCs w:val="23"/>
          <w:lang w:val="en-US"/>
        </w:rPr>
      </w:pPr>
    </w:p>
    <w:p w14:paraId="7856903B" w14:textId="66F7D109" w:rsidR="00A8667A" w:rsidRPr="009A017B" w:rsidRDefault="00845F8E" w:rsidP="00F639DD">
      <w:pPr>
        <w:widowControl w:val="0"/>
        <w:autoSpaceDE w:val="0"/>
        <w:autoSpaceDN w:val="0"/>
        <w:adjustRightInd w:val="0"/>
        <w:spacing w:after="0" w:line="240" w:lineRule="auto"/>
        <w:ind w:left="360"/>
        <w:jc w:val="both"/>
        <w:rPr>
          <w:rFonts w:ascii="Arial" w:eastAsia="宋体" w:hAnsi="Arial" w:cs="Arial"/>
          <w:bCs/>
          <w:sz w:val="23"/>
          <w:szCs w:val="23"/>
          <w:lang w:val="en-HK"/>
        </w:rPr>
      </w:pPr>
      <w:r>
        <w:rPr>
          <w:rFonts w:ascii="Arial" w:eastAsia="宋体" w:hAnsi="Arial" w:cs="Arial"/>
          <w:b/>
          <w:sz w:val="23"/>
          <w:szCs w:val="23"/>
          <w:lang w:val="en-US"/>
        </w:rPr>
        <w:t>T</w:t>
      </w:r>
      <w:r w:rsidRPr="00845F8E">
        <w:rPr>
          <w:rFonts w:ascii="Arial" w:eastAsia="宋体" w:hAnsi="Arial" w:cs="Arial"/>
          <w:b/>
          <w:sz w:val="23"/>
          <w:szCs w:val="23"/>
          <w:lang w:val="en-US"/>
        </w:rPr>
        <w:t>he asset management business showed resilience.</w:t>
      </w:r>
      <w:r w:rsidR="00A8667A" w:rsidRPr="009A017B">
        <w:rPr>
          <w:rFonts w:ascii="Arial" w:eastAsia="宋体" w:hAnsi="Arial" w:cs="Arial"/>
          <w:bCs/>
          <w:sz w:val="23"/>
          <w:szCs w:val="23"/>
          <w:lang w:val="en-US"/>
        </w:rPr>
        <w:t xml:space="preserve"> As at the end of the reporting period, the total asset management business of CMB Wealth Management, China Merchants Fund, CIGNA &amp; CMAM, and CMB International Capital all being subsidiaries of the Company, amounted to RMB4.41 trillion</w:t>
      </w:r>
      <w:r w:rsidR="00A8667A" w:rsidRPr="009A017B">
        <w:rPr>
          <w:rStyle w:val="ae"/>
          <w:rFonts w:ascii="Arial" w:eastAsia="宋体" w:hAnsi="Arial" w:cs="Arial"/>
          <w:bCs/>
          <w:sz w:val="23"/>
          <w:szCs w:val="23"/>
          <w:lang w:val="en-US"/>
        </w:rPr>
        <w:footnoteReference w:id="4"/>
      </w:r>
      <w:r w:rsidR="00A8667A" w:rsidRPr="009A017B">
        <w:rPr>
          <w:rFonts w:ascii="Arial" w:eastAsia="宋体" w:hAnsi="Arial" w:cs="Arial"/>
          <w:bCs/>
          <w:sz w:val="23"/>
          <w:szCs w:val="23"/>
          <w:lang w:val="en-US"/>
        </w:rPr>
        <w:t xml:space="preserve">, basically remained the same level as compared with the end of the previous year and maintained a leading position in the market, among which the balance of wealth management products under management by CMB Wealth Management amounted to </w:t>
      </w:r>
      <w:r w:rsidR="00A8667A" w:rsidRPr="0059662B">
        <w:rPr>
          <w:rFonts w:ascii="Arial" w:eastAsia="宋体" w:hAnsi="Arial" w:cs="Arial"/>
          <w:bCs/>
          <w:sz w:val="23"/>
          <w:szCs w:val="23"/>
          <w:lang w:val="en-US"/>
        </w:rPr>
        <w:t>RMB2.53 trillion, representing a decrease of 5.24% as compared with the end of the previous year,</w:t>
      </w:r>
      <w:r w:rsidR="006926D9" w:rsidRPr="0059662B">
        <w:rPr>
          <w:lang w:val="en-HK"/>
        </w:rPr>
        <w:t xml:space="preserve"> </w:t>
      </w:r>
      <w:r w:rsidR="006926D9" w:rsidRPr="0059662B">
        <w:rPr>
          <w:rFonts w:ascii="Arial" w:eastAsia="宋体" w:hAnsi="Arial" w:cs="Arial"/>
          <w:bCs/>
          <w:sz w:val="23"/>
          <w:szCs w:val="23"/>
          <w:lang w:val="en-US"/>
        </w:rPr>
        <w:t xml:space="preserve">but </w:t>
      </w:r>
      <w:r w:rsidR="0059662B" w:rsidRPr="0059662B">
        <w:rPr>
          <w:rFonts w:ascii="Arial" w:eastAsia="宋体" w:hAnsi="Arial" w:cs="Arial"/>
          <w:bCs/>
          <w:sz w:val="23"/>
          <w:szCs w:val="23"/>
          <w:lang w:val="en-US"/>
        </w:rPr>
        <w:t>an increase of RMB72.622 billion as compared with the end of the first quarter</w:t>
      </w:r>
      <w:r w:rsidR="0059662B" w:rsidRPr="0059662B">
        <w:rPr>
          <w:rFonts w:ascii="Arial" w:eastAsia="宋体" w:hAnsi="Arial" w:cs="Arial" w:hint="eastAsia"/>
          <w:bCs/>
          <w:sz w:val="23"/>
          <w:szCs w:val="23"/>
          <w:lang w:val="en-US"/>
        </w:rPr>
        <w:t>,</w:t>
      </w:r>
      <w:r w:rsidR="00A8667A" w:rsidRPr="0059662B">
        <w:rPr>
          <w:rFonts w:ascii="Arial" w:eastAsia="宋体" w:hAnsi="Arial" w:cs="Arial"/>
          <w:bCs/>
          <w:sz w:val="23"/>
          <w:szCs w:val="23"/>
          <w:lang w:val="en-US"/>
        </w:rPr>
        <w:t xml:space="preserve"> mainly due to</w:t>
      </w:r>
      <w:r w:rsidR="00B81377" w:rsidRPr="0059662B">
        <w:rPr>
          <w:rFonts w:ascii="Arial" w:eastAsia="宋体" w:hAnsi="Arial" w:cs="Arial"/>
          <w:bCs/>
          <w:sz w:val="23"/>
          <w:szCs w:val="23"/>
          <w:lang w:val="en-US"/>
        </w:rPr>
        <w:t xml:space="preserve"> the increased issuance </w:t>
      </w:r>
      <w:r w:rsidR="00A8667A" w:rsidRPr="0059662B">
        <w:rPr>
          <w:rFonts w:ascii="Arial" w:eastAsia="宋体" w:hAnsi="Arial" w:cs="Arial"/>
          <w:bCs/>
          <w:sz w:val="23"/>
          <w:szCs w:val="23"/>
          <w:lang w:val="en-US"/>
        </w:rPr>
        <w:t xml:space="preserve">of cash, short-term closed low-volatility products, and medium- and long-term maturity matching products. </w:t>
      </w:r>
      <w:r w:rsidR="00B81377" w:rsidRPr="0059662B">
        <w:rPr>
          <w:rFonts w:ascii="Arial" w:eastAsia="宋体" w:hAnsi="Arial" w:cs="Arial"/>
          <w:bCs/>
          <w:sz w:val="23"/>
          <w:szCs w:val="23"/>
          <w:lang w:val="en-US"/>
        </w:rPr>
        <w:t>The scale of assets management business of China Merchants Fund amounted to RMB1.55 trillion, representing an increase of 4.73% as compared with the end of the previous year; the scale of asset management business of CIGNA &amp; CMAM</w:t>
      </w:r>
      <w:r w:rsidR="00B81377" w:rsidRPr="009A017B">
        <w:rPr>
          <w:rFonts w:ascii="Arial" w:eastAsia="宋体" w:hAnsi="Arial" w:cs="Arial"/>
          <w:bCs/>
          <w:sz w:val="23"/>
          <w:szCs w:val="23"/>
          <w:lang w:val="en-US"/>
        </w:rPr>
        <w:t xml:space="preserve"> amounted to RMB223.725 billion, representing an increase of 35.81% as compared with the end of the previous year; the scale of asset management business of CMB International Capital amounted to RMB109.993 billion, representing an increase of 5.44% as compared with the end of the previous year.</w:t>
      </w:r>
    </w:p>
    <w:p w14:paraId="7D553520" w14:textId="77777777" w:rsidR="00A8667A" w:rsidRPr="009A017B" w:rsidRDefault="00A8667A" w:rsidP="00F639DD">
      <w:pPr>
        <w:widowControl w:val="0"/>
        <w:autoSpaceDE w:val="0"/>
        <w:autoSpaceDN w:val="0"/>
        <w:adjustRightInd w:val="0"/>
        <w:spacing w:after="0" w:line="240" w:lineRule="auto"/>
        <w:ind w:left="360"/>
        <w:jc w:val="both"/>
        <w:rPr>
          <w:rFonts w:ascii="Arial" w:eastAsia="宋体" w:hAnsi="Arial" w:cs="Arial"/>
          <w:bCs/>
          <w:sz w:val="23"/>
          <w:szCs w:val="23"/>
          <w:lang w:val="en-US"/>
        </w:rPr>
      </w:pPr>
    </w:p>
    <w:p w14:paraId="70318E29" w14:textId="6FE36EE3" w:rsidR="00A8667A" w:rsidRPr="009A017B" w:rsidRDefault="00845F8E" w:rsidP="00F639DD">
      <w:pPr>
        <w:widowControl w:val="0"/>
        <w:autoSpaceDE w:val="0"/>
        <w:autoSpaceDN w:val="0"/>
        <w:adjustRightInd w:val="0"/>
        <w:spacing w:after="0" w:line="240" w:lineRule="auto"/>
        <w:ind w:left="360"/>
        <w:jc w:val="both"/>
        <w:rPr>
          <w:rFonts w:ascii="Arial" w:eastAsia="宋体" w:hAnsi="Arial" w:cs="Arial"/>
          <w:bCs/>
          <w:sz w:val="23"/>
          <w:szCs w:val="23"/>
          <w:lang w:val="en-HK"/>
        </w:rPr>
      </w:pPr>
      <w:r>
        <w:rPr>
          <w:rFonts w:ascii="Arial" w:eastAsia="宋体" w:hAnsi="Arial" w:cs="Arial"/>
          <w:b/>
          <w:sz w:val="23"/>
          <w:szCs w:val="23"/>
          <w:lang w:val="en-US"/>
        </w:rPr>
        <w:t>T</w:t>
      </w:r>
      <w:r w:rsidRPr="00845F8E">
        <w:rPr>
          <w:rFonts w:ascii="Arial" w:eastAsia="宋体" w:hAnsi="Arial" w:cs="Arial"/>
          <w:b/>
          <w:sz w:val="23"/>
          <w:szCs w:val="23"/>
          <w:lang w:val="en-US"/>
        </w:rPr>
        <w:t>he custody business maintained its leadership</w:t>
      </w:r>
      <w:r w:rsidR="00B81377" w:rsidRPr="009A017B">
        <w:rPr>
          <w:rFonts w:ascii="Arial" w:eastAsia="宋体" w:hAnsi="Arial" w:cs="Arial"/>
          <w:b/>
          <w:sz w:val="23"/>
          <w:szCs w:val="23"/>
          <w:lang w:val="en-US"/>
        </w:rPr>
        <w:t xml:space="preserve">. </w:t>
      </w:r>
      <w:r w:rsidR="00B81377" w:rsidRPr="009A017B">
        <w:rPr>
          <w:rFonts w:ascii="Arial" w:eastAsia="宋体" w:hAnsi="Arial" w:cs="Arial"/>
          <w:bCs/>
          <w:sz w:val="23"/>
          <w:szCs w:val="23"/>
          <w:lang w:val="en-US"/>
        </w:rPr>
        <w:t xml:space="preserve">As of the end of the reporting period, the balance of assets under custody of the Company was RMB20.86 trillion, representing an increase of 3.99% as compared with the end of the previous year. The total scale of </w:t>
      </w:r>
      <w:r w:rsidR="00B81377" w:rsidRPr="009A017B">
        <w:rPr>
          <w:rFonts w:ascii="Arial" w:eastAsia="宋体" w:hAnsi="Arial" w:cs="Arial"/>
          <w:bCs/>
          <w:sz w:val="23"/>
          <w:szCs w:val="23"/>
          <w:lang w:val="en-US"/>
        </w:rPr>
        <w:lastRenderedPageBreak/>
        <w:t>custody was the largest in the industry (WIND data), and its market share expanded since the end of the previous year.</w:t>
      </w:r>
    </w:p>
    <w:p w14:paraId="62D212D6" w14:textId="77777777" w:rsidR="00A8667A" w:rsidRPr="009A017B" w:rsidRDefault="00A8667A" w:rsidP="00F639DD">
      <w:pPr>
        <w:widowControl w:val="0"/>
        <w:autoSpaceDE w:val="0"/>
        <w:autoSpaceDN w:val="0"/>
        <w:adjustRightInd w:val="0"/>
        <w:spacing w:after="0" w:line="240" w:lineRule="auto"/>
        <w:ind w:left="360"/>
        <w:jc w:val="both"/>
        <w:rPr>
          <w:rFonts w:ascii="Arial" w:eastAsia="宋体" w:hAnsi="Arial" w:cs="Arial"/>
          <w:bCs/>
          <w:sz w:val="23"/>
          <w:szCs w:val="23"/>
          <w:lang w:val="en-US"/>
        </w:rPr>
      </w:pPr>
    </w:p>
    <w:p w14:paraId="100CF234" w14:textId="6F31B647" w:rsidR="00B81377" w:rsidRPr="009A017B" w:rsidRDefault="0059662B" w:rsidP="00B81377">
      <w:pPr>
        <w:widowControl w:val="0"/>
        <w:numPr>
          <w:ilvl w:val="0"/>
          <w:numId w:val="5"/>
        </w:numPr>
        <w:spacing w:after="0" w:line="240" w:lineRule="auto"/>
        <w:ind w:left="426" w:hanging="426"/>
        <w:jc w:val="both"/>
        <w:rPr>
          <w:rFonts w:ascii="Arial" w:eastAsia="宋体" w:hAnsi="Arial" w:cs="Arial"/>
          <w:b/>
          <w:bCs/>
          <w:kern w:val="2"/>
          <w:sz w:val="23"/>
          <w:szCs w:val="23"/>
          <w:lang w:val="en-US"/>
        </w:rPr>
      </w:pPr>
      <w:r w:rsidRPr="0059662B">
        <w:rPr>
          <w:rFonts w:ascii="Arial" w:eastAsia="宋体" w:hAnsi="Arial" w:cs="Arial"/>
          <w:b/>
          <w:bCs/>
          <w:kern w:val="2"/>
          <w:sz w:val="23"/>
          <w:szCs w:val="23"/>
          <w:lang w:val="en-US"/>
        </w:rPr>
        <w:t>Comprehensively promoting the construction of “digital bank”</w:t>
      </w:r>
    </w:p>
    <w:p w14:paraId="2A68AB31" w14:textId="0F894B4C" w:rsidR="00F151DF" w:rsidRPr="009A017B" w:rsidRDefault="000D7849" w:rsidP="00F639DD">
      <w:pPr>
        <w:widowControl w:val="0"/>
        <w:autoSpaceDE w:val="0"/>
        <w:autoSpaceDN w:val="0"/>
        <w:adjustRightInd w:val="0"/>
        <w:spacing w:after="0" w:line="240" w:lineRule="auto"/>
        <w:ind w:left="360"/>
        <w:jc w:val="both"/>
        <w:rPr>
          <w:rFonts w:ascii="Arial" w:eastAsia="宋体" w:hAnsi="Arial" w:cs="Arial"/>
          <w:bCs/>
          <w:sz w:val="23"/>
          <w:szCs w:val="23"/>
          <w:lang w:val="en-HK"/>
        </w:rPr>
      </w:pPr>
      <w:r w:rsidRPr="009A017B">
        <w:rPr>
          <w:rFonts w:ascii="Arial" w:eastAsia="宋体" w:hAnsi="Arial" w:cs="Arial"/>
          <w:bCs/>
          <w:sz w:val="23"/>
          <w:szCs w:val="23"/>
          <w:lang w:val="en-US"/>
        </w:rPr>
        <w:t>The Company</w:t>
      </w:r>
      <w:r w:rsidR="00F151DF" w:rsidRPr="009A017B">
        <w:rPr>
          <w:rFonts w:ascii="Arial" w:eastAsia="宋体" w:hAnsi="Arial" w:cs="Arial"/>
          <w:bCs/>
          <w:sz w:val="23"/>
          <w:szCs w:val="23"/>
          <w:lang w:val="en-US"/>
        </w:rPr>
        <w:t xml:space="preserve"> continued to</w:t>
      </w:r>
      <w:r w:rsidRPr="009A017B">
        <w:rPr>
          <w:rFonts w:ascii="Arial" w:eastAsia="宋体" w:hAnsi="Arial" w:cs="Arial"/>
          <w:bCs/>
          <w:sz w:val="23"/>
          <w:szCs w:val="23"/>
          <w:lang w:val="en-US"/>
        </w:rPr>
        <w:t xml:space="preserve"> </w:t>
      </w:r>
      <w:r w:rsidR="00F151DF" w:rsidRPr="009A017B">
        <w:rPr>
          <w:rFonts w:ascii="Arial" w:eastAsia="宋体" w:hAnsi="Arial" w:cs="Arial"/>
          <w:bCs/>
          <w:sz w:val="23"/>
          <w:szCs w:val="23"/>
          <w:lang w:val="en-US"/>
        </w:rPr>
        <w:t xml:space="preserve">improve the service level of “people + </w:t>
      </w:r>
      <w:proofErr w:type="spellStart"/>
      <w:r w:rsidR="00F151DF" w:rsidRPr="009A017B">
        <w:rPr>
          <w:rFonts w:ascii="Arial" w:eastAsia="宋体" w:hAnsi="Arial" w:cs="Arial"/>
          <w:bCs/>
          <w:sz w:val="23"/>
          <w:szCs w:val="23"/>
          <w:lang w:val="en-US"/>
        </w:rPr>
        <w:t>digitalisation</w:t>
      </w:r>
      <w:proofErr w:type="spellEnd"/>
      <w:r w:rsidR="00F151DF" w:rsidRPr="009A017B">
        <w:rPr>
          <w:rFonts w:ascii="Arial" w:eastAsia="宋体" w:hAnsi="Arial" w:cs="Arial"/>
          <w:bCs/>
          <w:sz w:val="23"/>
          <w:szCs w:val="23"/>
          <w:lang w:val="en-US"/>
        </w:rPr>
        <w:t xml:space="preserve">” by focusing on online, data-based, intelligent, platform-based and ecological operation. In terms of expenditure, during the reporting period, the information technology input amounted to RMB5.206 billion. The ratio of information technology expenses to the Company’s net operating income was 3.21%. In terms of digital services for retail finance, </w:t>
      </w:r>
      <w:r w:rsidR="007F158C" w:rsidRPr="009A017B">
        <w:rPr>
          <w:rFonts w:ascii="Arial" w:eastAsia="宋体" w:hAnsi="Arial" w:cs="Arial"/>
          <w:bCs/>
          <w:sz w:val="23"/>
          <w:szCs w:val="23"/>
          <w:lang w:val="en-US"/>
        </w:rPr>
        <w:t xml:space="preserve">the number of monthly active users (MAU) of CMB APP and CMB Life APP reached 111 million. Through the intelligent wealth </w:t>
      </w:r>
      <w:proofErr w:type="gramStart"/>
      <w:r w:rsidR="007F158C" w:rsidRPr="009A017B">
        <w:rPr>
          <w:rFonts w:ascii="Arial" w:eastAsia="宋体" w:hAnsi="Arial" w:cs="Arial"/>
          <w:bCs/>
          <w:sz w:val="23"/>
          <w:szCs w:val="23"/>
          <w:lang w:val="en-US"/>
        </w:rPr>
        <w:t>assistant ”AI</w:t>
      </w:r>
      <w:proofErr w:type="gramEnd"/>
      <w:r w:rsidR="007F158C" w:rsidRPr="009A017B">
        <w:rPr>
          <w:rFonts w:ascii="Arial" w:eastAsia="宋体" w:hAnsi="Arial" w:cs="Arial"/>
          <w:bCs/>
          <w:sz w:val="23"/>
          <w:szCs w:val="23"/>
          <w:lang w:val="en-US"/>
        </w:rPr>
        <w:t xml:space="preserve"> Xiao Zhao (AI</w:t>
      </w:r>
      <w:r w:rsidR="007F158C" w:rsidRPr="009A017B">
        <w:rPr>
          <w:rFonts w:ascii="Arial" w:eastAsia="宋体" w:hAnsi="Arial" w:cs="Arial" w:hint="eastAsia"/>
          <w:bCs/>
          <w:sz w:val="23"/>
          <w:szCs w:val="23"/>
          <w:lang w:val="en-US"/>
        </w:rPr>
        <w:t>小招</w:t>
      </w:r>
      <w:r w:rsidR="007F158C" w:rsidRPr="009A017B">
        <w:rPr>
          <w:rFonts w:ascii="Arial" w:eastAsia="宋体" w:hAnsi="Arial" w:cs="Arial"/>
          <w:bCs/>
          <w:sz w:val="23"/>
          <w:szCs w:val="23"/>
          <w:lang w:val="en-US"/>
        </w:rPr>
        <w:t>)”, the Company provided more convenient and diversified services to retail customers. During the reporting period, the Company served 11,728,800 users via “AI Xiao Zhao (AI</w:t>
      </w:r>
      <w:r w:rsidR="007F158C" w:rsidRPr="009A017B">
        <w:rPr>
          <w:rFonts w:ascii="Arial" w:eastAsia="宋体" w:hAnsi="Arial" w:cs="Arial" w:hint="eastAsia"/>
          <w:bCs/>
          <w:sz w:val="23"/>
          <w:szCs w:val="23"/>
          <w:lang w:val="en-US"/>
        </w:rPr>
        <w:t>小招</w:t>
      </w:r>
      <w:r w:rsidR="007F158C" w:rsidRPr="009A017B">
        <w:rPr>
          <w:rFonts w:ascii="Arial" w:eastAsia="宋体" w:hAnsi="Arial" w:cs="Arial"/>
          <w:bCs/>
          <w:sz w:val="23"/>
          <w:szCs w:val="23"/>
          <w:lang w:val="en-US"/>
        </w:rPr>
        <w:t xml:space="preserve">)”, representing a year-on-year increase of 140.84%. In terms of wholesale financial digital services, the coverage rate of online basic services provided by the Company to corporate customers reached 95.65%. The percentage of online financing business was 89.88%, representing an increase of 7.74 percentage points as compared with the end of the previous year, and the percentage of online foreign exchange business was 73.57%, representing an increase of 8.08 percentage points as compared with the end of the previous year. In terms of risk management, the percentage of fraud and account takeover amounts by non-cardholders was lowered to 0.1 in ten millionths with the help of “Libra”. In terms of internal operation, </w:t>
      </w:r>
      <w:r w:rsidR="0051194B" w:rsidRPr="009A017B">
        <w:rPr>
          <w:rFonts w:ascii="Arial" w:eastAsia="宋体" w:hAnsi="Arial" w:cs="Arial"/>
          <w:bCs/>
          <w:sz w:val="23"/>
          <w:szCs w:val="23"/>
          <w:lang w:val="en-US"/>
        </w:rPr>
        <w:t>by leveraging the intelligent applications in scenarios such as Conch RPA, AI intelligent customer service, AI digital people, voice quality inspection, our staff were relieved from repetitive, time-consuming work equivalent to a workload of over 14,000 individuals. In terms of digital infrastructure, the overall availability</w:t>
      </w:r>
      <w:r w:rsidR="0051194B" w:rsidRPr="009A017B">
        <w:rPr>
          <w:rStyle w:val="ae"/>
          <w:rFonts w:ascii="Arial" w:eastAsia="宋体" w:hAnsi="Arial" w:cs="Arial"/>
          <w:bCs/>
          <w:sz w:val="23"/>
          <w:szCs w:val="23"/>
          <w:lang w:val="en-US"/>
        </w:rPr>
        <w:footnoteReference w:id="5"/>
      </w:r>
      <w:r w:rsidR="0051194B" w:rsidRPr="009A017B">
        <w:rPr>
          <w:rFonts w:ascii="Arial" w:eastAsia="宋体" w:hAnsi="Arial" w:cs="Arial"/>
          <w:bCs/>
          <w:sz w:val="23"/>
          <w:szCs w:val="23"/>
          <w:lang w:val="en-US"/>
        </w:rPr>
        <w:t xml:space="preserve"> of the cloud platform reached 99.999%.</w:t>
      </w:r>
    </w:p>
    <w:p w14:paraId="17204169" w14:textId="77777777" w:rsidR="00F151DF" w:rsidRPr="009A017B" w:rsidRDefault="00F151DF" w:rsidP="00F639DD">
      <w:pPr>
        <w:widowControl w:val="0"/>
        <w:autoSpaceDE w:val="0"/>
        <w:autoSpaceDN w:val="0"/>
        <w:adjustRightInd w:val="0"/>
        <w:spacing w:after="0" w:line="240" w:lineRule="auto"/>
        <w:ind w:left="360"/>
        <w:jc w:val="both"/>
        <w:rPr>
          <w:rFonts w:ascii="Arial" w:eastAsia="宋体" w:hAnsi="Arial" w:cs="Arial"/>
          <w:bCs/>
          <w:sz w:val="23"/>
          <w:szCs w:val="23"/>
          <w:lang w:val="en-US"/>
        </w:rPr>
      </w:pPr>
    </w:p>
    <w:p w14:paraId="49ED8315" w14:textId="3323386B" w:rsidR="0051194B" w:rsidRPr="009A017B" w:rsidRDefault="0059662B" w:rsidP="0051194B">
      <w:pPr>
        <w:widowControl w:val="0"/>
        <w:numPr>
          <w:ilvl w:val="0"/>
          <w:numId w:val="5"/>
        </w:numPr>
        <w:spacing w:after="0" w:line="240" w:lineRule="auto"/>
        <w:ind w:left="426" w:hanging="426"/>
        <w:jc w:val="both"/>
        <w:rPr>
          <w:rFonts w:ascii="Arial" w:eastAsia="宋体" w:hAnsi="Arial" w:cs="Arial"/>
          <w:b/>
          <w:bCs/>
          <w:kern w:val="2"/>
          <w:sz w:val="23"/>
          <w:szCs w:val="23"/>
          <w:lang w:val="en-US"/>
        </w:rPr>
      </w:pPr>
      <w:r w:rsidRPr="0059662B">
        <w:rPr>
          <w:rFonts w:ascii="Arial" w:eastAsia="宋体" w:hAnsi="Arial" w:cs="Arial"/>
          <w:b/>
          <w:bCs/>
          <w:kern w:val="2"/>
          <w:sz w:val="23"/>
          <w:szCs w:val="23"/>
          <w:lang w:val="en-US"/>
        </w:rPr>
        <w:t>Enhancing overall risk management capability</w:t>
      </w:r>
    </w:p>
    <w:p w14:paraId="4FC08945" w14:textId="41CE3E9D" w:rsidR="0051194B" w:rsidRPr="00475009" w:rsidRDefault="00845F8E" w:rsidP="00475009">
      <w:pPr>
        <w:widowControl w:val="0"/>
        <w:autoSpaceDE w:val="0"/>
        <w:autoSpaceDN w:val="0"/>
        <w:adjustRightInd w:val="0"/>
        <w:spacing w:after="0" w:line="240" w:lineRule="auto"/>
        <w:ind w:left="360"/>
        <w:jc w:val="both"/>
        <w:rPr>
          <w:rFonts w:ascii="Arial" w:eastAsia="宋体" w:hAnsi="Arial" w:cs="Arial"/>
          <w:bCs/>
          <w:sz w:val="23"/>
          <w:szCs w:val="23"/>
          <w:lang w:val="en-US"/>
        </w:rPr>
      </w:pPr>
      <w:r w:rsidRPr="00475009">
        <w:rPr>
          <w:rFonts w:ascii="Arial" w:eastAsia="宋体" w:hAnsi="Arial" w:cs="Arial"/>
          <w:b/>
          <w:sz w:val="23"/>
          <w:szCs w:val="23"/>
          <w:lang w:val="en-US"/>
        </w:rPr>
        <w:t>We continued to heighten asset classification, fully expose risks and stepped-up efforts to dispose non-performing assets to stabilize asset quality.</w:t>
      </w:r>
      <w:r w:rsidR="00F857BC" w:rsidRPr="00475009">
        <w:rPr>
          <w:rFonts w:ascii="Arial" w:eastAsia="宋体" w:hAnsi="Arial" w:cs="Arial"/>
          <w:bCs/>
          <w:sz w:val="23"/>
          <w:szCs w:val="23"/>
          <w:lang w:val="en-US"/>
        </w:rPr>
        <w:t xml:space="preserve"> As at the end of the reporting period, </w:t>
      </w:r>
      <w:r w:rsidR="00DA4E92" w:rsidRPr="00475009">
        <w:rPr>
          <w:rFonts w:ascii="Arial" w:eastAsia="宋体" w:hAnsi="Arial" w:cs="Arial"/>
          <w:bCs/>
          <w:sz w:val="23"/>
          <w:szCs w:val="23"/>
          <w:lang w:val="en-US"/>
        </w:rPr>
        <w:t xml:space="preserve">the balance of non-performing retail loans amounted to RMB27.975 billion, representing a decrease of RMB68 million as compared with the end of the previous year, with a non-performing loan ratio of 0.84%, down by 0.05 percentage point as compared with the end of the previous year. Among which, the balance of non-performing credit card loans amounted to RMB15.201 billion, representing a decrease of RMB449 million as compared with the end of the previous year; and the non-performing loan ratio </w:t>
      </w:r>
      <w:r w:rsidR="00DA4E92" w:rsidRPr="00475009">
        <w:rPr>
          <w:rFonts w:ascii="Arial" w:eastAsia="宋体" w:hAnsi="Arial" w:cs="Arial"/>
          <w:bCs/>
          <w:sz w:val="23"/>
          <w:szCs w:val="23"/>
          <w:lang w:val="en-US"/>
        </w:rPr>
        <w:lastRenderedPageBreak/>
        <w:t>of credit card loans was 1.68%, down by 0.09 percentage point as compared with the end of the previous year. As affected by risk exposure of some high-debt real estate enterprises and individual corporate customers with poor management, the balance of non-performing corporate loans amounted to RMB32.666 billion, representing an increase of RMB2.705 billion as compared with the end of the previous year; and the non-performing loan ratio of corporate loans was 1.27%, up by 0.01 percentage point as compared with the end of the previous year. The Group adopted prudent classification criteria for overdue loans, and the ratio of non-performing loans to the loans overdue for more than 90 days was 1.29, and the Company’s ratio of non-performing loans to the loans overdue for more than 60 days was 1.08.</w:t>
      </w:r>
    </w:p>
    <w:p w14:paraId="3625C9FB" w14:textId="77777777" w:rsidR="00E44EBF" w:rsidRPr="005C4505" w:rsidRDefault="00E44EBF" w:rsidP="0051194B">
      <w:pPr>
        <w:widowControl w:val="0"/>
        <w:spacing w:after="0" w:line="240" w:lineRule="auto"/>
        <w:ind w:left="426"/>
        <w:jc w:val="both"/>
        <w:rPr>
          <w:rFonts w:ascii="Arial" w:eastAsia="宋体" w:hAnsi="Arial" w:cs="Arial"/>
          <w:kern w:val="2"/>
          <w:sz w:val="23"/>
          <w:szCs w:val="23"/>
          <w:lang w:val="en-US"/>
        </w:rPr>
      </w:pPr>
    </w:p>
    <w:p w14:paraId="30135DEB" w14:textId="1307BE70" w:rsidR="00DA4E92" w:rsidRPr="005C4505" w:rsidRDefault="00DA4E92" w:rsidP="0051194B">
      <w:pPr>
        <w:widowControl w:val="0"/>
        <w:spacing w:after="0" w:line="240" w:lineRule="auto"/>
        <w:ind w:left="426"/>
        <w:jc w:val="both"/>
        <w:rPr>
          <w:rFonts w:ascii="Arial" w:eastAsia="宋体" w:hAnsi="Arial" w:cs="Arial"/>
          <w:kern w:val="2"/>
          <w:sz w:val="23"/>
          <w:szCs w:val="23"/>
          <w:lang w:val="en-HK"/>
        </w:rPr>
      </w:pPr>
      <w:r w:rsidRPr="005C4505">
        <w:rPr>
          <w:rFonts w:ascii="Arial" w:eastAsia="宋体" w:hAnsi="Arial" w:cs="Arial"/>
          <w:kern w:val="2"/>
          <w:sz w:val="23"/>
          <w:szCs w:val="23"/>
          <w:lang w:val="en-HK"/>
        </w:rPr>
        <w:t>During the reporting period, the Company formed new non-performing loans of RMB30.509 billion, representing a year-on-year decrease of RMB193 million; the formation ratio of non-performing loans was 1.04% (annualised), representing a year-on-year decrease of 0.09 percentage point. During the reporting period, the Company played an active role in the disposal of non-performing loans, taking various approaches to reduce and dispose of risk assets. During the reporting period, the disposal of non-performing loans by the Company amounted to RMB28.278 billion, of which RMB11.051 billion was written off, RMB11.376 billion was securitised, RMB5.637 billion was recovered by collection, and RMB214 million was disposed of by other means such as repossession, transfer, restructuring, upward migration and remission.</w:t>
      </w:r>
    </w:p>
    <w:p w14:paraId="63756AD2" w14:textId="77777777" w:rsidR="00532DE9" w:rsidRPr="005C4505" w:rsidRDefault="00532DE9" w:rsidP="0051194B">
      <w:pPr>
        <w:widowControl w:val="0"/>
        <w:spacing w:after="0" w:line="240" w:lineRule="auto"/>
        <w:ind w:left="426"/>
        <w:jc w:val="both"/>
        <w:rPr>
          <w:rFonts w:ascii="Arial" w:eastAsia="宋体" w:hAnsi="Arial" w:cs="Arial"/>
          <w:b/>
          <w:bCs/>
          <w:kern w:val="2"/>
          <w:sz w:val="23"/>
          <w:szCs w:val="23"/>
          <w:lang w:val="en-HK"/>
        </w:rPr>
      </w:pPr>
    </w:p>
    <w:p w14:paraId="342C1721" w14:textId="2D7E07BF" w:rsidR="00DA4E92" w:rsidRDefault="006926D9" w:rsidP="0051194B">
      <w:pPr>
        <w:widowControl w:val="0"/>
        <w:spacing w:after="0" w:line="240" w:lineRule="auto"/>
        <w:ind w:left="426"/>
        <w:jc w:val="both"/>
        <w:rPr>
          <w:rFonts w:ascii="Arial" w:eastAsia="宋体" w:hAnsi="Arial" w:cs="Arial"/>
          <w:kern w:val="2"/>
          <w:sz w:val="23"/>
          <w:szCs w:val="23"/>
          <w:lang w:val="en-HK"/>
        </w:rPr>
      </w:pPr>
      <w:r w:rsidRPr="006926D9">
        <w:rPr>
          <w:rFonts w:ascii="Arial" w:eastAsia="宋体" w:hAnsi="Arial" w:cs="Arial"/>
          <w:b/>
          <w:bCs/>
          <w:kern w:val="2"/>
          <w:sz w:val="23"/>
          <w:szCs w:val="23"/>
          <w:lang w:val="en-HK"/>
        </w:rPr>
        <w:t>We effectively managed the risks in real estate-related businesses and local government financing platforms, with overall quality of assets under control.</w:t>
      </w:r>
      <w:r>
        <w:rPr>
          <w:rFonts w:ascii="Arial" w:eastAsia="宋体" w:hAnsi="Arial" w:cs="Arial"/>
          <w:b/>
          <w:bCs/>
          <w:kern w:val="2"/>
          <w:sz w:val="23"/>
          <w:szCs w:val="23"/>
          <w:lang w:val="en-HK"/>
        </w:rPr>
        <w:t xml:space="preserve"> </w:t>
      </w:r>
      <w:r w:rsidR="00532DE9" w:rsidRPr="009A017B">
        <w:rPr>
          <w:rFonts w:ascii="Arial" w:eastAsia="宋体" w:hAnsi="Arial" w:cs="Arial"/>
          <w:kern w:val="2"/>
          <w:sz w:val="23"/>
          <w:szCs w:val="23"/>
          <w:lang w:val="en-HK"/>
        </w:rPr>
        <w:t>As at the end of the reporting period, the Company’s balance of loans granted to the real estate industry was RMB315.011 billion, representing a decrease of RMB18.704 billion as compared with the end of the previous year, accounting for 5.26% of the Company’s total loans and advances to customers, representing a decrease of 0.57 percentage point as compared with the end of the previous year.</w:t>
      </w:r>
      <w:r w:rsidR="00532DE9" w:rsidRPr="005C4505">
        <w:rPr>
          <w:rFonts w:ascii="Arial" w:eastAsia="宋体" w:hAnsi="Arial" w:cs="Arial"/>
          <w:kern w:val="2"/>
          <w:sz w:val="23"/>
          <w:szCs w:val="23"/>
          <w:lang w:val="en-HK"/>
        </w:rPr>
        <w:t xml:space="preserve"> The customer structure and regional structure of the Company in respect of real estate related loans have remained stable, among which the balance of loans granted to customers featuring high credit-rating accounted for over 70%; in terms of regions where the projects were located, over 85% of the Company’s balance of loans for real estate development was located in the urban areas of first-tier and second-tier cities. The Company’s non-performing loan ratio of real estate loans was 5.45%, representing an increase of 1.46 percentage points as compared with the end of the previous year, which was mainly due to the combined effect of the further release of risks associated with individual highly indebted real estate customers, slower progress of risk disposal and the decrease in the balance of real estate loans. The Group’s total balance of businesses which were not subject to credit risks, such as wealth management </w:t>
      </w:r>
      <w:r w:rsidR="00532DE9" w:rsidRPr="005C4505">
        <w:rPr>
          <w:rFonts w:ascii="Arial" w:eastAsia="宋体" w:hAnsi="Arial" w:cs="Arial"/>
          <w:kern w:val="2"/>
          <w:sz w:val="23"/>
          <w:szCs w:val="23"/>
          <w:lang w:val="en-HK"/>
        </w:rPr>
        <w:lastRenderedPageBreak/>
        <w:t>fund financing, entrusted loans, agency distribution of trust schemes under the active management by cooperative institutions, and debt financing instruments with the Group as the lead underwriter amounted to RMB247.547 billion, representing a decrease of 17.58% as compared with the end of the previous year.</w:t>
      </w:r>
    </w:p>
    <w:p w14:paraId="718F2429" w14:textId="77777777" w:rsidR="00E44EBF" w:rsidRPr="005C4505" w:rsidRDefault="00E44EBF" w:rsidP="0051194B">
      <w:pPr>
        <w:widowControl w:val="0"/>
        <w:spacing w:after="0" w:line="240" w:lineRule="auto"/>
        <w:ind w:left="426"/>
        <w:jc w:val="both"/>
        <w:rPr>
          <w:rFonts w:ascii="Arial" w:eastAsia="宋体" w:hAnsi="Arial" w:cs="Arial"/>
          <w:kern w:val="2"/>
          <w:sz w:val="23"/>
          <w:szCs w:val="23"/>
          <w:lang w:val="en-HK"/>
        </w:rPr>
      </w:pPr>
    </w:p>
    <w:p w14:paraId="6DE68102" w14:textId="3BA5C26E" w:rsidR="00532DE9" w:rsidRPr="009A017B" w:rsidRDefault="00532DE9" w:rsidP="009A017B">
      <w:pPr>
        <w:widowControl w:val="0"/>
        <w:spacing w:after="0" w:line="240" w:lineRule="auto"/>
        <w:ind w:left="426"/>
        <w:jc w:val="both"/>
        <w:rPr>
          <w:rFonts w:ascii="Arial" w:eastAsia="宋体" w:hAnsi="Arial" w:cs="Arial"/>
          <w:kern w:val="2"/>
          <w:sz w:val="23"/>
          <w:szCs w:val="23"/>
          <w:lang w:val="en-HK"/>
        </w:rPr>
      </w:pPr>
      <w:r w:rsidRPr="009A017B">
        <w:rPr>
          <w:rFonts w:ascii="Arial" w:eastAsia="宋体" w:hAnsi="Arial" w:cs="Arial"/>
          <w:kern w:val="2"/>
          <w:sz w:val="23"/>
          <w:szCs w:val="23"/>
          <w:lang w:val="en-HK"/>
        </w:rPr>
        <w:t>As of the end of the reporting period, the balance of the local government financing platform business involved in the Company and CMB Wealth Management was RMB248.573 billion (including businesses such as actual and contingent credit, bond investment, proprietary investments and fund investment of wealth management products), representing a decrease of RMB15.066 billion as compared with the end of the previous year. Among them, the balance of loans from domestic companies was RMB137.289 billion, representing an increase of RMB4.725 billion as compared with the end of the previous year, accounting for 2.29% of the total loans and advances of the Company, representing a decrease of 0.03 percentage point as compared with the end of the previous year. As of the end of the reporting period, the non-performing loan ratio of the local government financing platform business was 0.14%, which proved that the asset quality remained at a good level.</w:t>
      </w:r>
    </w:p>
    <w:bookmarkEnd w:id="0"/>
    <w:p w14:paraId="14505E9F" w14:textId="75A7D264" w:rsidR="00146BBA" w:rsidRPr="009A017B" w:rsidRDefault="00110D9B" w:rsidP="00146BBA">
      <w:pPr>
        <w:widowControl w:val="0"/>
        <w:autoSpaceDE w:val="0"/>
        <w:autoSpaceDN w:val="0"/>
        <w:adjustRightInd w:val="0"/>
        <w:spacing w:after="0" w:line="240" w:lineRule="auto"/>
        <w:jc w:val="both"/>
        <w:rPr>
          <w:rFonts w:ascii="Arial" w:eastAsia="宋体" w:hAnsi="Arial" w:cs="Arial"/>
          <w:sz w:val="23"/>
          <w:szCs w:val="23"/>
          <w:lang w:val="en-US"/>
        </w:rPr>
      </w:pPr>
      <w:r w:rsidRPr="009A017B">
        <w:rPr>
          <w:rFonts w:ascii="Arial" w:eastAsia="宋体" w:hAnsi="Arial" w:cs="Arial"/>
          <w:b/>
          <w:noProof/>
          <w:color w:val="000000"/>
          <w:kern w:val="2"/>
          <w:sz w:val="23"/>
          <w:szCs w:val="23"/>
          <w:lang w:eastAsia="zh-TW"/>
        </w:rPr>
        <mc:AlternateContent>
          <mc:Choice Requires="wps">
            <w:drawing>
              <wp:anchor distT="0" distB="0" distL="114300" distR="114300" simplePos="0" relativeHeight="251665408" behindDoc="1" locked="0" layoutInCell="1" allowOverlap="1" wp14:anchorId="2BB6CFF5" wp14:editId="502EF6CA">
                <wp:simplePos x="0" y="0"/>
                <wp:positionH relativeFrom="column">
                  <wp:posOffset>-67946</wp:posOffset>
                </wp:positionH>
                <wp:positionV relativeFrom="paragraph">
                  <wp:posOffset>213995</wp:posOffset>
                </wp:positionV>
                <wp:extent cx="2524125" cy="304800"/>
                <wp:effectExtent l="0" t="0" r="9525" b="0"/>
                <wp:wrapNone/>
                <wp:docPr id="1906067427" name="Rectangle: Rounded Corners 1906067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304800"/>
                        </a:xfrm>
                        <a:prstGeom prst="roundRect">
                          <a:avLst>
                            <a:gd name="adj" fmla="val 16667"/>
                          </a:avLst>
                        </a:prstGeom>
                        <a:gradFill rotWithShape="0">
                          <a:gsLst>
                            <a:gs pos="0">
                              <a:srgbClr val="FF0000"/>
                            </a:gs>
                            <a:gs pos="100000">
                              <a:srgbClr val="FF0000">
                                <a:gamma/>
                                <a:tint val="20000"/>
                                <a:invGamma/>
                              </a:srgbClr>
                            </a:gs>
                          </a:gsLst>
                          <a:lin ang="2700000" scaled="1"/>
                        </a:gradFill>
                        <a:ln>
                          <a:noFill/>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oundrect w14:anchorId="1F9A0975" id="Rectangle: Rounded Corners 1906067427" o:spid="_x0000_s1026" style="position:absolute;margin-left:-5.35pt;margin-top:16.85pt;width:198.75pt;height:24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" fillcolor="red" stroked="f">
                <v:fill color2="#fcc" angle="45" focus="100%" type="gradient"/>
              </v:roundrect>
            </w:pict>
          </mc:Fallback>
        </mc:AlternateContent>
      </w:r>
    </w:p>
    <w:p w14:paraId="33A9014E" w14:textId="45B445E1" w:rsidR="00687735" w:rsidRPr="009A017B" w:rsidRDefault="00146BBA" w:rsidP="009A017B">
      <w:pPr>
        <w:widowControl w:val="0"/>
        <w:autoSpaceDE w:val="0"/>
        <w:autoSpaceDN w:val="0"/>
        <w:adjustRightInd w:val="0"/>
        <w:spacing w:after="0" w:line="240" w:lineRule="auto"/>
        <w:jc w:val="both"/>
        <w:rPr>
          <w:rFonts w:ascii="Arial" w:eastAsia="宋体" w:hAnsi="Arial" w:cs="Arial"/>
          <w:b/>
          <w:color w:val="000000"/>
          <w:kern w:val="2"/>
          <w:sz w:val="23"/>
          <w:szCs w:val="23"/>
          <w:lang w:val="en-US"/>
        </w:rPr>
      </w:pPr>
      <w:r w:rsidRPr="009A017B">
        <w:rPr>
          <w:rFonts w:ascii="Arial" w:eastAsia="宋体" w:hAnsi="Arial" w:cs="Arial"/>
          <w:b/>
          <w:color w:val="000000"/>
          <w:kern w:val="2"/>
          <w:sz w:val="23"/>
          <w:szCs w:val="23"/>
          <w:lang w:val="en-US"/>
        </w:rPr>
        <w:t>3. Outlook</w:t>
      </w:r>
      <w:r w:rsidR="00110D9B">
        <w:rPr>
          <w:rFonts w:ascii="Arial" w:eastAsia="宋体" w:hAnsi="Arial" w:cs="Arial"/>
          <w:b/>
          <w:color w:val="000000"/>
          <w:kern w:val="2"/>
          <w:sz w:val="23"/>
          <w:szCs w:val="23"/>
          <w:lang w:val="en-US"/>
        </w:rPr>
        <w:t xml:space="preserve"> and </w:t>
      </w:r>
      <w:r w:rsidR="00110D9B" w:rsidRPr="00110D9B">
        <w:rPr>
          <w:rFonts w:ascii="Arial" w:eastAsia="宋体" w:hAnsi="Arial" w:cs="Arial"/>
          <w:b/>
          <w:color w:val="000000"/>
          <w:kern w:val="2"/>
          <w:sz w:val="23"/>
          <w:szCs w:val="23"/>
          <w:lang w:val="en-US"/>
        </w:rPr>
        <w:t>Coping Tactics</w:t>
      </w:r>
    </w:p>
    <w:p w14:paraId="60240D94" w14:textId="77777777" w:rsidR="005C4505" w:rsidRPr="009A017B" w:rsidRDefault="005C4505" w:rsidP="009A017B">
      <w:pPr>
        <w:widowControl w:val="0"/>
        <w:spacing w:after="0" w:line="240" w:lineRule="auto"/>
        <w:ind w:left="426"/>
        <w:jc w:val="both"/>
        <w:rPr>
          <w:rFonts w:ascii="Arial" w:eastAsia="宋体" w:hAnsi="Arial" w:cs="Arial"/>
          <w:kern w:val="2"/>
          <w:sz w:val="23"/>
          <w:szCs w:val="23"/>
          <w:lang w:val="en-HK"/>
        </w:rPr>
      </w:pPr>
    </w:p>
    <w:p w14:paraId="01525D2E" w14:textId="11BF4B3D" w:rsidR="00687735" w:rsidRPr="009A017B" w:rsidRDefault="006B3621" w:rsidP="006926D9">
      <w:pPr>
        <w:widowControl w:val="0"/>
        <w:spacing w:after="0" w:line="240" w:lineRule="auto"/>
        <w:ind w:left="426"/>
        <w:jc w:val="both"/>
        <w:rPr>
          <w:rFonts w:ascii="Arial" w:eastAsia="宋体" w:hAnsi="Arial" w:cs="Arial"/>
          <w:kern w:val="2"/>
          <w:sz w:val="23"/>
          <w:szCs w:val="23"/>
          <w:lang w:val="en-HK"/>
        </w:rPr>
      </w:pPr>
      <w:r w:rsidRPr="009A017B">
        <w:rPr>
          <w:rFonts w:ascii="Arial" w:eastAsia="宋体" w:hAnsi="Arial" w:cs="Arial"/>
          <w:kern w:val="2"/>
          <w:sz w:val="23"/>
          <w:szCs w:val="23"/>
          <w:lang w:val="en-HK"/>
        </w:rPr>
        <w:t xml:space="preserve">Looking forward </w:t>
      </w:r>
      <w:r w:rsidR="00110D9B">
        <w:rPr>
          <w:rFonts w:ascii="Arial" w:eastAsia="宋体" w:hAnsi="Arial" w:cs="Arial"/>
          <w:kern w:val="2"/>
          <w:sz w:val="23"/>
          <w:szCs w:val="23"/>
          <w:lang w:val="en-HK"/>
        </w:rPr>
        <w:t xml:space="preserve">to </w:t>
      </w:r>
      <w:r w:rsidR="00F4478A" w:rsidRPr="009A017B">
        <w:rPr>
          <w:rFonts w:ascii="Arial" w:eastAsia="宋体" w:hAnsi="Arial" w:cs="Arial"/>
          <w:kern w:val="2"/>
          <w:sz w:val="23"/>
          <w:szCs w:val="23"/>
          <w:lang w:val="en-HK"/>
        </w:rPr>
        <w:t xml:space="preserve">the second half of the year, </w:t>
      </w:r>
      <w:r w:rsidRPr="009A017B">
        <w:rPr>
          <w:rFonts w:ascii="Arial" w:eastAsia="宋体" w:hAnsi="Arial" w:cs="Arial"/>
          <w:kern w:val="2"/>
          <w:sz w:val="23"/>
          <w:szCs w:val="23"/>
          <w:lang w:val="en-HK"/>
        </w:rPr>
        <w:t xml:space="preserve">on the overseas front, after the interest negotiation meeting in July, </w:t>
      </w:r>
      <w:r w:rsidR="006926D9" w:rsidRPr="006926D9">
        <w:rPr>
          <w:rFonts w:ascii="Arial" w:eastAsia="宋体" w:hAnsi="Arial" w:cs="Arial"/>
          <w:kern w:val="2"/>
          <w:sz w:val="23"/>
          <w:szCs w:val="23"/>
          <w:lang w:val="en-HK"/>
        </w:rPr>
        <w:t>the cycle of current round of Fed’s rate hike has been nearing its peak</w:t>
      </w:r>
      <w:r w:rsidR="006926D9">
        <w:rPr>
          <w:rFonts w:ascii="Arial" w:eastAsia="宋体" w:hAnsi="Arial" w:cs="Arial" w:hint="eastAsia"/>
          <w:kern w:val="2"/>
          <w:sz w:val="23"/>
          <w:szCs w:val="23"/>
          <w:lang w:val="en-HK"/>
        </w:rPr>
        <w:t>.</w:t>
      </w:r>
      <w:r w:rsidRPr="009A017B">
        <w:rPr>
          <w:rFonts w:ascii="Arial" w:eastAsia="宋体" w:hAnsi="Arial" w:cs="Arial"/>
          <w:kern w:val="2"/>
          <w:sz w:val="23"/>
          <w:szCs w:val="23"/>
          <w:lang w:val="en-HK"/>
        </w:rPr>
        <w:t xml:space="preserve"> </w:t>
      </w:r>
      <w:r w:rsidR="006926D9" w:rsidRPr="006926D9">
        <w:rPr>
          <w:rFonts w:ascii="Arial" w:eastAsia="宋体" w:hAnsi="Arial" w:cs="Arial"/>
          <w:kern w:val="2"/>
          <w:sz w:val="23"/>
          <w:szCs w:val="23"/>
          <w:lang w:val="en-HK"/>
        </w:rPr>
        <w:t>However, due to the resilience of inflation and employment, the cycle</w:t>
      </w:r>
      <w:r w:rsidR="006926D9">
        <w:rPr>
          <w:rFonts w:ascii="Arial" w:eastAsia="宋体" w:hAnsi="Arial" w:cs="Arial"/>
          <w:kern w:val="2"/>
          <w:sz w:val="23"/>
          <w:szCs w:val="23"/>
          <w:lang w:val="en-HK"/>
        </w:rPr>
        <w:t xml:space="preserve"> </w:t>
      </w:r>
      <w:r w:rsidR="006926D9" w:rsidRPr="006926D9">
        <w:rPr>
          <w:rFonts w:ascii="Arial" w:eastAsia="宋体" w:hAnsi="Arial" w:cs="Arial"/>
          <w:kern w:val="2"/>
          <w:sz w:val="23"/>
          <w:szCs w:val="23"/>
          <w:lang w:val="en-HK"/>
        </w:rPr>
        <w:t>of current round of rate hike in the U.S. may last longer at high level. As the spot and lagged effects of monetary</w:t>
      </w:r>
      <w:r w:rsidR="006926D9">
        <w:rPr>
          <w:rFonts w:ascii="Arial" w:eastAsia="宋体" w:hAnsi="Arial" w:cs="Arial"/>
          <w:kern w:val="2"/>
          <w:sz w:val="23"/>
          <w:szCs w:val="23"/>
          <w:lang w:val="en-HK"/>
        </w:rPr>
        <w:t xml:space="preserve"> </w:t>
      </w:r>
      <w:r w:rsidR="006926D9" w:rsidRPr="006926D9">
        <w:rPr>
          <w:rFonts w:ascii="Arial" w:eastAsia="宋体" w:hAnsi="Arial" w:cs="Arial"/>
          <w:kern w:val="2"/>
          <w:sz w:val="23"/>
          <w:szCs w:val="23"/>
          <w:lang w:val="en-HK"/>
        </w:rPr>
        <w:t>tightening gradually emerge, the growth momentum of the U.S. economy witnesses a tendency towards decline.</w:t>
      </w:r>
      <w:r w:rsidRPr="009A017B">
        <w:rPr>
          <w:rFonts w:ascii="Arial" w:eastAsia="宋体" w:hAnsi="Arial" w:cs="Arial"/>
          <w:kern w:val="2"/>
          <w:sz w:val="23"/>
          <w:szCs w:val="23"/>
          <w:lang w:val="en-HK"/>
        </w:rPr>
        <w:t xml:space="preserve"> On the domestic front, recovery and transformation will become the main line of the economy in the second half of the year, and growth momentum is expected to strengthen marginally under the policy support, and it is expected that the annual GDP growth rate will realise the target of 5%. At present, the driving role of science and technology as the primary productive force is becoming more prominent, the driving force of economic growth is changing rapidly, and the balance sheet of customers is shifting from “expansion” to “adjustment”, and the risk environment is becoming increasingly complex. These changes are profoundly affecting the development of the banking industry, bringing both new significant challenges and opportunities, and have strengthened the Company’s determination to advance its strategy of building a value creation bank, develop new advantages in differentiated competition and shape Malik growth curve.</w:t>
      </w:r>
    </w:p>
    <w:p w14:paraId="0BABA1AB" w14:textId="5265E580" w:rsidR="003458F9" w:rsidRPr="009A017B" w:rsidRDefault="003458F9" w:rsidP="009A017B">
      <w:pPr>
        <w:widowControl w:val="0"/>
        <w:spacing w:after="0" w:line="240" w:lineRule="auto"/>
        <w:ind w:left="426"/>
        <w:jc w:val="both"/>
        <w:rPr>
          <w:rFonts w:ascii="Arial" w:eastAsia="宋体" w:hAnsi="Arial" w:cs="Arial"/>
          <w:kern w:val="2"/>
          <w:sz w:val="23"/>
          <w:szCs w:val="23"/>
          <w:lang w:val="en-HK"/>
        </w:rPr>
      </w:pPr>
    </w:p>
    <w:p w14:paraId="2A224B2C" w14:textId="41D52A8C" w:rsidR="003458F9" w:rsidRPr="009A017B" w:rsidRDefault="006B3621" w:rsidP="009A017B">
      <w:pPr>
        <w:widowControl w:val="0"/>
        <w:spacing w:after="0" w:line="240" w:lineRule="auto"/>
        <w:ind w:left="426"/>
        <w:jc w:val="both"/>
        <w:rPr>
          <w:rFonts w:ascii="Arial" w:eastAsia="宋体" w:hAnsi="Arial" w:cs="Arial"/>
          <w:kern w:val="2"/>
          <w:sz w:val="23"/>
          <w:szCs w:val="23"/>
          <w:lang w:val="en-HK"/>
        </w:rPr>
      </w:pPr>
      <w:r w:rsidRPr="009A017B">
        <w:rPr>
          <w:rFonts w:ascii="Arial" w:eastAsia="宋体" w:hAnsi="Arial" w:cs="Arial"/>
          <w:kern w:val="2"/>
          <w:sz w:val="23"/>
          <w:szCs w:val="23"/>
          <w:lang w:val="en-HK"/>
        </w:rPr>
        <w:t>In terms of the Company, t</w:t>
      </w:r>
      <w:r w:rsidR="003458F9" w:rsidRPr="009A017B">
        <w:rPr>
          <w:rFonts w:ascii="Arial" w:eastAsia="宋体" w:hAnsi="Arial" w:cs="Arial"/>
          <w:kern w:val="2"/>
          <w:sz w:val="23"/>
          <w:szCs w:val="23"/>
          <w:lang w:val="en-HK"/>
        </w:rPr>
        <w:t>he following specific strategies</w:t>
      </w:r>
      <w:r w:rsidRPr="009A017B">
        <w:rPr>
          <w:rFonts w:ascii="Arial" w:eastAsia="宋体" w:hAnsi="Arial" w:cs="Arial"/>
          <w:kern w:val="2"/>
          <w:sz w:val="23"/>
          <w:szCs w:val="23"/>
          <w:lang w:val="en-HK"/>
        </w:rPr>
        <w:t xml:space="preserve"> for the second half of the year</w:t>
      </w:r>
      <w:r w:rsidR="003458F9" w:rsidRPr="009A017B">
        <w:rPr>
          <w:rFonts w:ascii="Arial" w:eastAsia="宋体" w:hAnsi="Arial" w:cs="Arial"/>
          <w:kern w:val="2"/>
          <w:sz w:val="23"/>
          <w:szCs w:val="23"/>
          <w:lang w:val="en-HK"/>
        </w:rPr>
        <w:t xml:space="preserve"> </w:t>
      </w:r>
      <w:r w:rsidR="003458F9" w:rsidRPr="009A017B">
        <w:rPr>
          <w:rFonts w:ascii="Arial" w:eastAsia="宋体" w:hAnsi="Arial" w:cs="Arial"/>
          <w:kern w:val="2"/>
          <w:sz w:val="23"/>
          <w:szCs w:val="23"/>
          <w:lang w:val="en-HK"/>
        </w:rPr>
        <w:lastRenderedPageBreak/>
        <w:t xml:space="preserve">will be applied: </w:t>
      </w:r>
      <w:r w:rsidRPr="009A017B">
        <w:rPr>
          <w:rFonts w:ascii="Arial" w:eastAsia="宋体" w:hAnsi="Arial" w:cs="Arial"/>
          <w:kern w:val="2"/>
          <w:sz w:val="23"/>
          <w:szCs w:val="23"/>
          <w:lang w:val="en-HK"/>
        </w:rPr>
        <w:t>The first is to promote the four major sectors to form a balanced and coordinated business pattern with distinctive features.</w:t>
      </w:r>
      <w:r w:rsidR="003458F9" w:rsidRPr="009A017B">
        <w:rPr>
          <w:rFonts w:ascii="Arial" w:eastAsia="宋体" w:hAnsi="Arial" w:cs="Arial"/>
          <w:kern w:val="2"/>
          <w:sz w:val="23"/>
          <w:szCs w:val="23"/>
          <w:lang w:val="en-HK"/>
        </w:rPr>
        <w:t xml:space="preserve"> </w:t>
      </w:r>
      <w:r w:rsidRPr="009A017B">
        <w:rPr>
          <w:rFonts w:ascii="Arial" w:eastAsia="宋体" w:hAnsi="Arial" w:cs="Arial"/>
          <w:kern w:val="2"/>
          <w:sz w:val="23"/>
          <w:szCs w:val="23"/>
          <w:lang w:val="en-HK"/>
        </w:rPr>
        <w:t>The second is to accelerate the transformation of wealth management.</w:t>
      </w:r>
      <w:r w:rsidR="003458F9" w:rsidRPr="009A017B">
        <w:rPr>
          <w:rFonts w:ascii="Arial" w:eastAsia="宋体" w:hAnsi="Arial" w:cs="Arial"/>
          <w:kern w:val="2"/>
          <w:sz w:val="23"/>
          <w:szCs w:val="23"/>
          <w:lang w:val="en-HK"/>
        </w:rPr>
        <w:t xml:space="preserve"> </w:t>
      </w:r>
      <w:r w:rsidRPr="009A017B">
        <w:rPr>
          <w:rFonts w:ascii="Arial" w:eastAsia="宋体" w:hAnsi="Arial" w:cs="Arial"/>
          <w:kern w:val="2"/>
          <w:sz w:val="23"/>
          <w:szCs w:val="23"/>
          <w:lang w:val="en-HK"/>
        </w:rPr>
        <w:t>The third is to strengthen the development of asset origination capabilities.</w:t>
      </w:r>
      <w:r w:rsidR="003458F9" w:rsidRPr="009A017B">
        <w:rPr>
          <w:rFonts w:ascii="Arial" w:eastAsia="宋体" w:hAnsi="Arial" w:cs="Arial"/>
          <w:kern w:val="2"/>
          <w:sz w:val="23"/>
          <w:szCs w:val="23"/>
          <w:lang w:val="en-HK"/>
        </w:rPr>
        <w:t xml:space="preserve"> </w:t>
      </w:r>
      <w:r w:rsidRPr="009A017B">
        <w:rPr>
          <w:rFonts w:ascii="Arial" w:eastAsia="宋体" w:hAnsi="Arial" w:cs="Arial"/>
          <w:kern w:val="2"/>
          <w:sz w:val="23"/>
          <w:szCs w:val="23"/>
          <w:lang w:val="en-HK"/>
        </w:rPr>
        <w:t>The fourth is to comprehensively promote the construction of the “Digital CMB”.</w:t>
      </w:r>
      <w:r w:rsidR="003458F9" w:rsidRPr="009A017B">
        <w:rPr>
          <w:rFonts w:ascii="Arial" w:eastAsia="宋体" w:hAnsi="Arial" w:cs="Arial"/>
          <w:kern w:val="2"/>
          <w:sz w:val="23"/>
          <w:szCs w:val="23"/>
          <w:lang w:val="en-HK"/>
        </w:rPr>
        <w:t xml:space="preserve"> </w:t>
      </w:r>
      <w:r w:rsidRPr="009A017B">
        <w:rPr>
          <w:rFonts w:ascii="Arial" w:eastAsia="宋体" w:hAnsi="Arial" w:cs="Arial"/>
          <w:kern w:val="2"/>
          <w:sz w:val="23"/>
          <w:szCs w:val="23"/>
          <w:lang w:val="en-HK"/>
        </w:rPr>
        <w:t xml:space="preserve">The fifth is to keep on developing a fortress-style overall risk and compliance management system. </w:t>
      </w:r>
      <w:r w:rsidR="000B6881" w:rsidRPr="009A017B">
        <w:rPr>
          <w:rFonts w:ascii="Arial" w:eastAsia="宋体" w:hAnsi="Arial" w:cs="Arial"/>
          <w:kern w:val="2"/>
          <w:sz w:val="23"/>
          <w:szCs w:val="23"/>
          <w:lang w:val="en-HK"/>
        </w:rPr>
        <w:t>The sixth is to thoroughly implement its development strategy in key regions. The seventh is to build a management system in line with the value creation bank.</w:t>
      </w:r>
    </w:p>
    <w:p w14:paraId="36A5DD91" w14:textId="77777777" w:rsidR="00687735" w:rsidRPr="009A017B" w:rsidRDefault="00687735">
      <w:pPr>
        <w:widowControl w:val="0"/>
        <w:spacing w:after="0" w:line="240" w:lineRule="auto"/>
        <w:jc w:val="both"/>
        <w:rPr>
          <w:rFonts w:ascii="Arial" w:eastAsia="宋体" w:hAnsi="Arial" w:cs="Arial"/>
          <w:kern w:val="2"/>
          <w:sz w:val="23"/>
          <w:szCs w:val="23"/>
          <w:lang w:val="en-US"/>
        </w:rPr>
      </w:pPr>
    </w:p>
    <w:p w14:paraId="1431DEF1" w14:textId="567190F9" w:rsidR="00687735" w:rsidRPr="009A017B" w:rsidRDefault="00505E26">
      <w:pPr>
        <w:widowControl w:val="0"/>
        <w:tabs>
          <w:tab w:val="left" w:pos="3640"/>
          <w:tab w:val="left" w:pos="4289"/>
          <w:tab w:val="center" w:pos="4936"/>
        </w:tabs>
        <w:spacing w:after="0" w:line="240" w:lineRule="auto"/>
        <w:ind w:firstLineChars="200" w:firstLine="460"/>
        <w:rPr>
          <w:rFonts w:ascii="Arial" w:eastAsia="宋体" w:hAnsi="Arial" w:cs="Arial"/>
          <w:kern w:val="2"/>
          <w:sz w:val="23"/>
          <w:szCs w:val="23"/>
          <w:lang w:val="en-US"/>
        </w:rPr>
      </w:pPr>
      <w:r w:rsidRPr="009A017B">
        <w:rPr>
          <w:rFonts w:ascii="Arial" w:eastAsia="宋体" w:hAnsi="Arial" w:cs="Arial"/>
          <w:kern w:val="2"/>
          <w:sz w:val="23"/>
          <w:szCs w:val="23"/>
          <w:lang w:val="en-US"/>
        </w:rPr>
        <w:tab/>
      </w:r>
      <w:r w:rsidRPr="009A017B">
        <w:rPr>
          <w:rFonts w:ascii="Arial" w:eastAsia="宋体" w:hAnsi="Arial" w:cs="Arial"/>
          <w:kern w:val="2"/>
          <w:sz w:val="23"/>
          <w:szCs w:val="23"/>
          <w:lang w:val="en-US"/>
        </w:rPr>
        <w:tab/>
      </w:r>
      <w:r w:rsidR="009A017B">
        <w:rPr>
          <w:rFonts w:ascii="Arial" w:eastAsia="宋体" w:hAnsi="Arial" w:cs="Arial" w:hint="eastAsia"/>
          <w:kern w:val="2"/>
          <w:sz w:val="23"/>
          <w:szCs w:val="23"/>
          <w:lang w:val="en-US"/>
        </w:rPr>
        <w:t>—</w:t>
      </w:r>
      <w:r w:rsidR="00033D5C" w:rsidRPr="009A017B">
        <w:rPr>
          <w:rFonts w:ascii="Arial" w:eastAsia="宋体" w:hAnsi="Arial" w:cs="Arial"/>
          <w:kern w:val="2"/>
          <w:sz w:val="23"/>
          <w:szCs w:val="23"/>
          <w:lang w:val="en-US"/>
        </w:rPr>
        <w:t>END</w:t>
      </w:r>
      <w:r w:rsidR="009A017B">
        <w:rPr>
          <w:rFonts w:ascii="Arial" w:eastAsia="宋体" w:hAnsi="Arial" w:cs="Arial" w:hint="eastAsia"/>
          <w:kern w:val="2"/>
          <w:sz w:val="23"/>
          <w:szCs w:val="23"/>
          <w:lang w:val="en-US"/>
        </w:rPr>
        <w:t>—</w:t>
      </w:r>
    </w:p>
    <w:p w14:paraId="7815A4BE" w14:textId="7913501C" w:rsidR="00033D5C" w:rsidRPr="009A017B" w:rsidRDefault="00033D5C">
      <w:pPr>
        <w:spacing w:after="0" w:line="320" w:lineRule="exact"/>
        <w:jc w:val="both"/>
        <w:rPr>
          <w:rFonts w:ascii="Arial" w:eastAsia="宋体" w:hAnsi="Arial" w:cs="Arial"/>
          <w:color w:val="000000"/>
          <w:lang w:val="en-US"/>
        </w:rPr>
      </w:pPr>
    </w:p>
    <w:p w14:paraId="1E7F72FF" w14:textId="77777777" w:rsidR="00033D5C" w:rsidRPr="009A017B" w:rsidRDefault="00033D5C" w:rsidP="00033D5C">
      <w:pPr>
        <w:spacing w:after="0" w:line="320" w:lineRule="exact"/>
        <w:jc w:val="both"/>
        <w:rPr>
          <w:rFonts w:ascii="Arial" w:eastAsia="宋体" w:hAnsi="Arial" w:cs="Arial"/>
          <w:b/>
          <w:bCs/>
          <w:color w:val="000000"/>
          <w:kern w:val="2"/>
          <w:sz w:val="23"/>
          <w:szCs w:val="23"/>
          <w:lang w:val="en-HK"/>
        </w:rPr>
      </w:pPr>
      <w:r w:rsidRPr="009A017B">
        <w:rPr>
          <w:rFonts w:ascii="Arial" w:eastAsia="宋体" w:hAnsi="Arial" w:cs="Arial"/>
          <w:b/>
          <w:bCs/>
          <w:color w:val="000000"/>
          <w:kern w:val="2"/>
          <w:sz w:val="23"/>
          <w:szCs w:val="23"/>
          <w:lang w:val="en-HK"/>
        </w:rPr>
        <w:t>Investor Relations</w:t>
      </w:r>
    </w:p>
    <w:p w14:paraId="1A6B6473" w14:textId="77777777" w:rsidR="00033D5C" w:rsidRPr="009A017B" w:rsidRDefault="00033D5C" w:rsidP="00033D5C">
      <w:pPr>
        <w:spacing w:after="0" w:line="320" w:lineRule="exact"/>
        <w:jc w:val="both"/>
        <w:rPr>
          <w:rFonts w:ascii="Arial" w:eastAsia="宋体" w:hAnsi="Arial" w:cs="Arial"/>
          <w:color w:val="000000"/>
          <w:kern w:val="2"/>
          <w:sz w:val="23"/>
          <w:szCs w:val="23"/>
          <w:lang w:val="en-HK"/>
        </w:rPr>
      </w:pPr>
      <w:r w:rsidRPr="009A017B">
        <w:rPr>
          <w:rFonts w:ascii="Arial" w:eastAsia="宋体" w:hAnsi="Arial" w:cs="Arial"/>
          <w:color w:val="000000"/>
          <w:kern w:val="2"/>
          <w:sz w:val="23"/>
          <w:szCs w:val="23"/>
          <w:lang w:val="en-HK"/>
        </w:rPr>
        <w:t>China Merchants Bank H.O.</w:t>
      </w:r>
    </w:p>
    <w:p w14:paraId="24F95204" w14:textId="6419EB6E" w:rsidR="00033D5C" w:rsidRPr="009A017B" w:rsidRDefault="00033D5C" w:rsidP="00033D5C">
      <w:pPr>
        <w:spacing w:after="0" w:line="320" w:lineRule="exact"/>
        <w:jc w:val="both"/>
        <w:rPr>
          <w:rFonts w:ascii="Arial" w:eastAsia="宋体" w:hAnsi="Arial" w:cs="Arial"/>
          <w:color w:val="000000"/>
          <w:kern w:val="2"/>
          <w:sz w:val="23"/>
          <w:szCs w:val="23"/>
          <w:lang w:val="en-HK"/>
        </w:rPr>
      </w:pPr>
      <w:r w:rsidRPr="009A017B">
        <w:rPr>
          <w:rFonts w:ascii="Arial" w:eastAsia="宋体" w:hAnsi="Arial" w:cs="Arial"/>
          <w:color w:val="000000"/>
          <w:kern w:val="2"/>
          <w:sz w:val="23"/>
          <w:szCs w:val="23"/>
          <w:lang w:val="en-HK"/>
        </w:rPr>
        <w:t xml:space="preserve">Tel: </w:t>
      </w:r>
      <w:r w:rsidR="006468D7">
        <w:rPr>
          <w:rFonts w:ascii="Arial" w:eastAsia="宋体" w:hAnsi="Arial" w:cs="Arial" w:hint="eastAsia"/>
          <w:color w:val="000000"/>
          <w:kern w:val="2"/>
          <w:sz w:val="23"/>
          <w:szCs w:val="23"/>
          <w:lang w:val="en-US"/>
        </w:rPr>
        <w:t>(</w:t>
      </w:r>
      <w:r w:rsidR="005C4505" w:rsidRPr="005C4505">
        <w:rPr>
          <w:rFonts w:ascii="Arial" w:eastAsia="宋体" w:hAnsi="Arial" w:cs="Arial"/>
          <w:color w:val="000000"/>
          <w:kern w:val="2"/>
          <w:sz w:val="23"/>
          <w:szCs w:val="23"/>
          <w:lang w:val="en-US" w:eastAsia="zh-TW"/>
        </w:rPr>
        <w:t>86</w:t>
      </w:r>
      <w:r w:rsidR="006468D7">
        <w:rPr>
          <w:rFonts w:ascii="Arial" w:eastAsia="宋体" w:hAnsi="Arial" w:cs="Arial" w:hint="eastAsia"/>
          <w:color w:val="000000"/>
          <w:kern w:val="2"/>
          <w:sz w:val="23"/>
          <w:szCs w:val="23"/>
          <w:lang w:val="en-US"/>
        </w:rPr>
        <w:t>)</w:t>
      </w:r>
      <w:r w:rsidR="006468D7">
        <w:rPr>
          <w:rFonts w:ascii="Arial" w:eastAsia="宋体" w:hAnsi="Arial" w:cs="Arial"/>
          <w:color w:val="000000"/>
          <w:kern w:val="2"/>
          <w:sz w:val="23"/>
          <w:szCs w:val="23"/>
          <w:lang w:val="en-US"/>
        </w:rPr>
        <w:t xml:space="preserve"> </w:t>
      </w:r>
      <w:r w:rsidR="005C4505" w:rsidRPr="005C4505">
        <w:rPr>
          <w:rFonts w:ascii="Arial" w:eastAsia="宋体" w:hAnsi="Arial" w:cs="Arial"/>
          <w:color w:val="000000"/>
          <w:kern w:val="2"/>
          <w:sz w:val="23"/>
          <w:szCs w:val="23"/>
          <w:lang w:val="en-US" w:eastAsia="zh-TW"/>
        </w:rPr>
        <w:t>755 2269 9082</w:t>
      </w:r>
    </w:p>
    <w:p w14:paraId="0BCC2CD0" w14:textId="3E6CC6FD" w:rsidR="00033D5C" w:rsidRPr="009A017B" w:rsidRDefault="00033D5C" w:rsidP="00033D5C">
      <w:pPr>
        <w:spacing w:after="0" w:line="320" w:lineRule="exact"/>
        <w:jc w:val="both"/>
        <w:rPr>
          <w:rFonts w:ascii="Arial" w:eastAsia="宋体" w:hAnsi="Arial" w:cs="Arial"/>
          <w:color w:val="000000"/>
          <w:kern w:val="2"/>
          <w:sz w:val="23"/>
          <w:szCs w:val="23"/>
          <w:lang w:val="en-HK"/>
        </w:rPr>
      </w:pPr>
      <w:r w:rsidRPr="009A017B">
        <w:rPr>
          <w:rFonts w:ascii="Arial" w:eastAsia="宋体" w:hAnsi="Arial" w:cs="Arial"/>
          <w:color w:val="000000"/>
          <w:kern w:val="2"/>
          <w:sz w:val="23"/>
          <w:szCs w:val="23"/>
          <w:lang w:val="en-HK"/>
        </w:rPr>
        <w:t xml:space="preserve">Fax: </w:t>
      </w:r>
      <w:r w:rsidR="006468D7">
        <w:rPr>
          <w:rFonts w:ascii="Arial" w:eastAsia="宋体" w:hAnsi="Arial" w:cs="Arial" w:hint="eastAsia"/>
          <w:color w:val="000000"/>
          <w:kern w:val="2"/>
          <w:sz w:val="23"/>
          <w:szCs w:val="23"/>
          <w:lang w:val="en-US"/>
        </w:rPr>
        <w:t>(</w:t>
      </w:r>
      <w:r w:rsidR="005C4505" w:rsidRPr="005C4505">
        <w:rPr>
          <w:rFonts w:ascii="Arial" w:eastAsia="宋体" w:hAnsi="Arial" w:cs="Arial"/>
          <w:color w:val="000000"/>
          <w:kern w:val="2"/>
          <w:sz w:val="23"/>
          <w:szCs w:val="23"/>
          <w:lang w:val="en-US" w:eastAsia="zh-TW"/>
        </w:rPr>
        <w:t>86</w:t>
      </w:r>
      <w:r w:rsidR="006468D7">
        <w:rPr>
          <w:rFonts w:ascii="Arial" w:eastAsia="宋体" w:hAnsi="Arial" w:cs="Arial" w:hint="eastAsia"/>
          <w:color w:val="000000"/>
          <w:kern w:val="2"/>
          <w:sz w:val="23"/>
          <w:szCs w:val="23"/>
          <w:lang w:val="en-US"/>
        </w:rPr>
        <w:t>)</w:t>
      </w:r>
      <w:r w:rsidR="006468D7">
        <w:rPr>
          <w:rFonts w:ascii="Arial" w:eastAsia="宋体" w:hAnsi="Arial" w:cs="Arial"/>
          <w:color w:val="000000"/>
          <w:kern w:val="2"/>
          <w:sz w:val="23"/>
          <w:szCs w:val="23"/>
          <w:lang w:val="en-US"/>
        </w:rPr>
        <w:t xml:space="preserve"> </w:t>
      </w:r>
      <w:r w:rsidR="005C4505" w:rsidRPr="005C4505">
        <w:rPr>
          <w:rFonts w:ascii="Arial" w:eastAsia="宋体" w:hAnsi="Arial" w:cs="Arial"/>
          <w:color w:val="000000"/>
          <w:kern w:val="2"/>
          <w:sz w:val="23"/>
          <w:szCs w:val="23"/>
          <w:lang w:val="en-US" w:eastAsia="zh-TW"/>
        </w:rPr>
        <w:t>755 8319 5109</w:t>
      </w:r>
    </w:p>
    <w:p w14:paraId="74F53196" w14:textId="59CB2261" w:rsidR="00033D5C" w:rsidRPr="009A017B" w:rsidRDefault="00033D5C" w:rsidP="00033D5C">
      <w:pPr>
        <w:spacing w:after="0" w:line="320" w:lineRule="exact"/>
        <w:jc w:val="both"/>
        <w:rPr>
          <w:rFonts w:ascii="Arial" w:eastAsia="宋体" w:hAnsi="Arial" w:cs="Arial"/>
          <w:color w:val="000000"/>
          <w:kern w:val="2"/>
          <w:sz w:val="23"/>
          <w:szCs w:val="23"/>
          <w:lang w:val="en-HK"/>
        </w:rPr>
      </w:pPr>
      <w:r w:rsidRPr="009A017B">
        <w:rPr>
          <w:rFonts w:ascii="Arial" w:eastAsia="宋体" w:hAnsi="Arial" w:cs="Arial"/>
          <w:color w:val="000000"/>
          <w:kern w:val="2"/>
          <w:sz w:val="23"/>
          <w:szCs w:val="23"/>
          <w:lang w:val="en-HK"/>
        </w:rPr>
        <w:t xml:space="preserve">E-mail: </w:t>
      </w:r>
      <w:r w:rsidR="005C4505" w:rsidRPr="009A017B">
        <w:rPr>
          <w:rFonts w:ascii="Arial" w:hAnsi="Arial" w:cs="Arial"/>
          <w:lang w:val="en-HK"/>
        </w:rPr>
        <w:t>IR@cmbchina.com</w:t>
      </w:r>
    </w:p>
    <w:p w14:paraId="2BDE806D" w14:textId="5364BD20" w:rsidR="00033D5C" w:rsidRPr="009A017B" w:rsidRDefault="00033D5C">
      <w:pPr>
        <w:spacing w:after="0" w:line="320" w:lineRule="exact"/>
        <w:jc w:val="both"/>
        <w:rPr>
          <w:rFonts w:ascii="Arial" w:eastAsia="宋体" w:hAnsi="Arial" w:cs="Arial"/>
          <w:kern w:val="2"/>
          <w:sz w:val="23"/>
          <w:szCs w:val="23"/>
          <w:lang w:val="en-US"/>
        </w:rPr>
      </w:pPr>
    </w:p>
    <w:p w14:paraId="714BD231" w14:textId="77777777" w:rsidR="00033D5C" w:rsidRPr="009A017B" w:rsidRDefault="00033D5C" w:rsidP="00033D5C">
      <w:pPr>
        <w:spacing w:after="0" w:line="320" w:lineRule="exact"/>
        <w:jc w:val="both"/>
        <w:rPr>
          <w:rFonts w:ascii="Arial" w:eastAsia="宋体" w:hAnsi="Arial" w:cs="Arial"/>
          <w:b/>
          <w:bCs/>
          <w:color w:val="000000"/>
          <w:kern w:val="2"/>
          <w:sz w:val="23"/>
          <w:szCs w:val="23"/>
          <w:lang w:val="en-US"/>
        </w:rPr>
      </w:pPr>
      <w:r w:rsidRPr="009A017B">
        <w:rPr>
          <w:rFonts w:ascii="Arial" w:eastAsia="宋体" w:hAnsi="Arial" w:cs="Arial"/>
          <w:b/>
          <w:bCs/>
          <w:color w:val="000000"/>
          <w:kern w:val="2"/>
          <w:sz w:val="23"/>
          <w:szCs w:val="23"/>
          <w:lang w:val="en-US"/>
        </w:rPr>
        <w:t>Media Contact</w:t>
      </w:r>
    </w:p>
    <w:p w14:paraId="04CB8F0D" w14:textId="77777777" w:rsidR="00033D5C" w:rsidRPr="009A017B" w:rsidRDefault="00033D5C" w:rsidP="00033D5C">
      <w:pPr>
        <w:spacing w:after="0" w:line="320" w:lineRule="exact"/>
        <w:jc w:val="both"/>
        <w:rPr>
          <w:rFonts w:ascii="Arial" w:eastAsia="宋体" w:hAnsi="Arial" w:cs="Arial"/>
          <w:color w:val="000000"/>
          <w:kern w:val="2"/>
          <w:sz w:val="23"/>
          <w:szCs w:val="23"/>
          <w:lang w:val="en-US"/>
        </w:rPr>
      </w:pPr>
      <w:r w:rsidRPr="009A017B">
        <w:rPr>
          <w:rFonts w:ascii="Arial" w:eastAsia="宋体" w:hAnsi="Arial" w:cs="Arial"/>
          <w:color w:val="000000"/>
          <w:kern w:val="2"/>
          <w:sz w:val="23"/>
          <w:szCs w:val="23"/>
          <w:lang w:val="en-US"/>
        </w:rPr>
        <w:t>Ms. Vivian Wang</w:t>
      </w:r>
    </w:p>
    <w:p w14:paraId="103B92E8" w14:textId="45C347BF" w:rsidR="00033D5C" w:rsidRPr="009A017B" w:rsidRDefault="00033D5C" w:rsidP="00033D5C">
      <w:pPr>
        <w:spacing w:after="0" w:line="320" w:lineRule="exact"/>
        <w:jc w:val="both"/>
        <w:rPr>
          <w:rFonts w:ascii="Arial" w:eastAsia="宋体" w:hAnsi="Arial" w:cs="Arial"/>
          <w:color w:val="000000"/>
          <w:kern w:val="2"/>
          <w:sz w:val="23"/>
          <w:szCs w:val="23"/>
          <w:lang w:val="en-US"/>
        </w:rPr>
      </w:pPr>
      <w:r w:rsidRPr="009A017B">
        <w:rPr>
          <w:rFonts w:ascii="Arial" w:eastAsia="宋体" w:hAnsi="Arial" w:cs="Arial"/>
          <w:color w:val="000000"/>
          <w:kern w:val="2"/>
          <w:sz w:val="23"/>
          <w:szCs w:val="23"/>
          <w:lang w:val="en-US"/>
        </w:rPr>
        <w:t>Christensen</w:t>
      </w:r>
      <w:r w:rsidR="005C4505" w:rsidRPr="009A017B">
        <w:rPr>
          <w:rFonts w:ascii="Arial" w:eastAsia="宋体" w:hAnsi="Arial" w:cs="Arial"/>
          <w:color w:val="000000"/>
          <w:kern w:val="2"/>
          <w:sz w:val="23"/>
          <w:szCs w:val="23"/>
          <w:lang w:val="en-US"/>
        </w:rPr>
        <w:t xml:space="preserve"> China Limited</w:t>
      </w:r>
    </w:p>
    <w:p w14:paraId="587F9610" w14:textId="66DA522C" w:rsidR="00033D5C" w:rsidRPr="009A017B" w:rsidRDefault="00033D5C" w:rsidP="00033D5C">
      <w:pPr>
        <w:spacing w:after="0" w:line="320" w:lineRule="exact"/>
        <w:jc w:val="both"/>
        <w:rPr>
          <w:rFonts w:ascii="Arial" w:eastAsia="宋体" w:hAnsi="Arial" w:cs="Arial"/>
          <w:color w:val="000000"/>
          <w:kern w:val="2"/>
          <w:sz w:val="23"/>
          <w:szCs w:val="23"/>
          <w:lang w:val="en-US"/>
        </w:rPr>
      </w:pPr>
      <w:r w:rsidRPr="009A017B">
        <w:rPr>
          <w:rFonts w:ascii="Arial" w:eastAsia="宋体" w:hAnsi="Arial" w:cs="Arial"/>
          <w:color w:val="000000"/>
          <w:kern w:val="2"/>
          <w:sz w:val="23"/>
          <w:szCs w:val="23"/>
          <w:lang w:val="en-US"/>
        </w:rPr>
        <w:t xml:space="preserve">Tel: </w:t>
      </w:r>
      <w:r w:rsidR="006468D7">
        <w:rPr>
          <w:rFonts w:ascii="Arial" w:eastAsia="宋体" w:hAnsi="Arial" w:cs="Arial" w:hint="eastAsia"/>
          <w:color w:val="000000"/>
          <w:kern w:val="2"/>
          <w:sz w:val="23"/>
          <w:szCs w:val="23"/>
          <w:lang w:val="en-US"/>
        </w:rPr>
        <w:t>(</w:t>
      </w:r>
      <w:r w:rsidR="005C4505" w:rsidRPr="005C4505">
        <w:rPr>
          <w:rFonts w:ascii="Arial" w:eastAsia="宋体" w:hAnsi="Arial" w:cs="Arial"/>
          <w:color w:val="000000"/>
          <w:kern w:val="2"/>
          <w:sz w:val="23"/>
          <w:szCs w:val="23"/>
          <w:lang w:val="en-US" w:eastAsia="zh-TW"/>
        </w:rPr>
        <w:t>852</w:t>
      </w:r>
      <w:r w:rsidR="006468D7">
        <w:rPr>
          <w:rFonts w:ascii="Arial" w:eastAsia="宋体" w:hAnsi="Arial" w:cs="Arial" w:hint="eastAsia"/>
          <w:color w:val="000000"/>
          <w:kern w:val="2"/>
          <w:sz w:val="23"/>
          <w:szCs w:val="23"/>
          <w:lang w:val="en-US"/>
        </w:rPr>
        <w:t>)</w:t>
      </w:r>
      <w:r w:rsidR="006468D7">
        <w:rPr>
          <w:rFonts w:ascii="Arial" w:eastAsia="宋体" w:hAnsi="Arial" w:cs="Arial"/>
          <w:color w:val="000000"/>
          <w:kern w:val="2"/>
          <w:sz w:val="23"/>
          <w:szCs w:val="23"/>
          <w:lang w:val="en-US"/>
        </w:rPr>
        <w:t xml:space="preserve"> </w:t>
      </w:r>
      <w:r w:rsidR="005C4505" w:rsidRPr="005C4505">
        <w:rPr>
          <w:rFonts w:ascii="Arial" w:eastAsia="宋体" w:hAnsi="Arial" w:cs="Arial"/>
          <w:color w:val="000000"/>
          <w:kern w:val="2"/>
          <w:sz w:val="23"/>
          <w:szCs w:val="23"/>
          <w:lang w:val="en-US" w:eastAsia="zh-TW"/>
        </w:rPr>
        <w:t>2232 3978</w:t>
      </w:r>
    </w:p>
    <w:p w14:paraId="31ACBE1A" w14:textId="5D4E28EE" w:rsidR="00033D5C" w:rsidRPr="009A017B" w:rsidRDefault="00033D5C" w:rsidP="00033D5C">
      <w:pPr>
        <w:spacing w:after="0" w:line="320" w:lineRule="exact"/>
        <w:jc w:val="both"/>
        <w:rPr>
          <w:rFonts w:ascii="Arial" w:eastAsia="宋体" w:hAnsi="Arial" w:cs="Arial"/>
          <w:color w:val="000000"/>
          <w:kern w:val="2"/>
          <w:sz w:val="23"/>
          <w:szCs w:val="23"/>
          <w:lang w:val="en-US"/>
        </w:rPr>
      </w:pPr>
      <w:r w:rsidRPr="009A017B">
        <w:rPr>
          <w:rFonts w:ascii="Arial" w:eastAsia="宋体" w:hAnsi="Arial" w:cs="Arial"/>
          <w:color w:val="000000"/>
          <w:kern w:val="2"/>
          <w:sz w:val="23"/>
          <w:szCs w:val="23"/>
          <w:lang w:val="en-US"/>
        </w:rPr>
        <w:t xml:space="preserve">Fax: </w:t>
      </w:r>
      <w:r w:rsidR="006468D7">
        <w:rPr>
          <w:rFonts w:ascii="Arial" w:eastAsia="宋体" w:hAnsi="Arial" w:cs="Arial" w:hint="eastAsia"/>
          <w:color w:val="000000"/>
          <w:kern w:val="2"/>
          <w:sz w:val="23"/>
          <w:szCs w:val="23"/>
          <w:lang w:val="en-US"/>
        </w:rPr>
        <w:t>(</w:t>
      </w:r>
      <w:r w:rsidR="005C4505" w:rsidRPr="005C4505">
        <w:rPr>
          <w:rFonts w:ascii="Arial" w:eastAsia="宋体" w:hAnsi="Arial" w:cs="Arial"/>
          <w:color w:val="000000"/>
          <w:kern w:val="2"/>
          <w:sz w:val="23"/>
          <w:szCs w:val="23"/>
          <w:lang w:val="en-US" w:eastAsia="zh-TW"/>
        </w:rPr>
        <w:t>852</w:t>
      </w:r>
      <w:r w:rsidR="006468D7">
        <w:rPr>
          <w:rFonts w:ascii="Arial" w:eastAsia="宋体" w:hAnsi="Arial" w:cs="Arial" w:hint="eastAsia"/>
          <w:color w:val="000000"/>
          <w:kern w:val="2"/>
          <w:sz w:val="23"/>
          <w:szCs w:val="23"/>
          <w:lang w:val="en-US"/>
        </w:rPr>
        <w:t>)</w:t>
      </w:r>
      <w:r w:rsidR="006468D7">
        <w:rPr>
          <w:rFonts w:ascii="Arial" w:eastAsia="宋体" w:hAnsi="Arial" w:cs="Arial"/>
          <w:color w:val="000000"/>
          <w:kern w:val="2"/>
          <w:sz w:val="23"/>
          <w:szCs w:val="23"/>
          <w:lang w:val="en-US"/>
        </w:rPr>
        <w:t xml:space="preserve"> </w:t>
      </w:r>
      <w:r w:rsidR="005C4505" w:rsidRPr="005C4505">
        <w:rPr>
          <w:rFonts w:ascii="Arial" w:eastAsia="宋体" w:hAnsi="Arial" w:cs="Arial"/>
          <w:color w:val="000000"/>
          <w:kern w:val="2"/>
          <w:sz w:val="23"/>
          <w:szCs w:val="23"/>
          <w:lang w:val="en-US" w:eastAsia="zh-TW"/>
        </w:rPr>
        <w:t>2117 0869</w:t>
      </w:r>
    </w:p>
    <w:p w14:paraId="7CCF245C" w14:textId="708E192C" w:rsidR="00687735" w:rsidRPr="009A017B" w:rsidRDefault="00033D5C" w:rsidP="009A017B">
      <w:pPr>
        <w:spacing w:after="0" w:line="320" w:lineRule="exact"/>
        <w:jc w:val="both"/>
        <w:rPr>
          <w:rFonts w:ascii="Arial" w:eastAsia="宋体" w:hAnsi="Arial" w:cs="Arial"/>
          <w:lang w:val="en-US"/>
        </w:rPr>
      </w:pPr>
      <w:r w:rsidRPr="009A017B">
        <w:rPr>
          <w:rFonts w:ascii="Arial" w:eastAsia="宋体" w:hAnsi="Arial" w:cs="Arial"/>
          <w:color w:val="000000"/>
          <w:kern w:val="2"/>
          <w:sz w:val="23"/>
          <w:szCs w:val="23"/>
          <w:lang w:val="en-US"/>
        </w:rPr>
        <w:t xml:space="preserve">Email: </w:t>
      </w:r>
      <w:r w:rsidR="005C4505" w:rsidRPr="005C4505">
        <w:rPr>
          <w:rFonts w:ascii="Arial" w:eastAsia="宋体" w:hAnsi="Arial" w:cs="Arial"/>
          <w:sz w:val="23"/>
          <w:szCs w:val="23"/>
          <w:lang w:val="en-US" w:eastAsia="zh-TW"/>
        </w:rPr>
        <w:t>vivian.wang@christensencomms.com</w:t>
      </w:r>
    </w:p>
    <w:sectPr w:rsidR="00687735" w:rsidRPr="009A017B">
      <w:headerReference w:type="default" r:id="rId9"/>
      <w:footerReference w:type="default" r:id="rId10"/>
      <w:pgSz w:w="11906" w:h="16838"/>
      <w:pgMar w:top="1418" w:right="1247" w:bottom="1304" w:left="1247" w:header="737" w:footer="6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DD75C" w14:textId="77777777" w:rsidR="0064702E" w:rsidRDefault="0064702E">
      <w:pPr>
        <w:spacing w:after="0" w:line="240" w:lineRule="auto"/>
      </w:pPr>
      <w:r>
        <w:separator/>
      </w:r>
    </w:p>
  </w:endnote>
  <w:endnote w:type="continuationSeparator" w:id="0">
    <w:p w14:paraId="65BC4CDB" w14:textId="77777777" w:rsidR="0064702E" w:rsidRDefault="00647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A0B7" w14:textId="77777777" w:rsidR="00687735" w:rsidRDefault="00505E26">
    <w:pPr>
      <w:pStyle w:val="a5"/>
      <w:jc w:val="center"/>
      <w:rPr>
        <w:rFonts w:ascii="Calibri" w:hAnsi="Calibri"/>
      </w:rPr>
    </w:pPr>
    <w:r>
      <w:rPr>
        <w:rFonts w:ascii="Calibri" w:hAnsi="Calibri"/>
      </w:rPr>
      <w:fldChar w:fldCharType="begin"/>
    </w:r>
    <w:r>
      <w:rPr>
        <w:rFonts w:ascii="Calibri" w:hAnsi="Calibri"/>
      </w:rPr>
      <w:instrText xml:space="preserve"> PAGE   \* MERGEFORMAT </w:instrText>
    </w:r>
    <w:r>
      <w:rPr>
        <w:rFonts w:ascii="Calibri" w:hAnsi="Calibri"/>
      </w:rPr>
      <w:fldChar w:fldCharType="separate"/>
    </w:r>
    <w:r>
      <w:rPr>
        <w:rFonts w:ascii="Calibri" w:eastAsia="PMingLiU" w:hAnsi="Calibri"/>
        <w:lang w:val="zh-HK" w:eastAsia="zh-TW"/>
      </w:rPr>
      <w:t>7</w:t>
    </w:r>
    <w:r>
      <w:rPr>
        <w:rFonts w:ascii="Calibri" w:hAnsi="Calibri"/>
      </w:rPr>
      <w:fldChar w:fldCharType="end"/>
    </w:r>
  </w:p>
  <w:p w14:paraId="73067B39" w14:textId="77777777" w:rsidR="00687735" w:rsidRDefault="006877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F8CEC" w14:textId="77777777" w:rsidR="0064702E" w:rsidRDefault="0064702E">
      <w:pPr>
        <w:spacing w:after="0" w:line="240" w:lineRule="auto"/>
      </w:pPr>
      <w:r>
        <w:separator/>
      </w:r>
    </w:p>
  </w:footnote>
  <w:footnote w:type="continuationSeparator" w:id="0">
    <w:p w14:paraId="0F014806" w14:textId="77777777" w:rsidR="0064702E" w:rsidRDefault="0064702E">
      <w:pPr>
        <w:spacing w:after="0" w:line="240" w:lineRule="auto"/>
      </w:pPr>
      <w:r>
        <w:continuationSeparator/>
      </w:r>
    </w:p>
  </w:footnote>
  <w:footnote w:id="1">
    <w:p w14:paraId="2D5368B8" w14:textId="31AA2FF6" w:rsidR="00AE1D92" w:rsidRPr="009A017B" w:rsidRDefault="00AE1D92" w:rsidP="00AE1D92">
      <w:pPr>
        <w:pStyle w:val="a9"/>
        <w:rPr>
          <w:rFonts w:ascii="Arial" w:eastAsia="宋体" w:hAnsi="Arial" w:cs="Arial"/>
          <w:lang w:val="en-HK"/>
        </w:rPr>
      </w:pPr>
      <w:r w:rsidRPr="009A017B">
        <w:rPr>
          <w:rStyle w:val="ae"/>
          <w:rFonts w:ascii="Arial" w:eastAsia="宋体" w:hAnsi="Arial" w:cs="Arial"/>
        </w:rPr>
        <w:footnoteRef/>
      </w:r>
      <w:r w:rsidRPr="009A017B">
        <w:rPr>
          <w:rFonts w:ascii="Arial" w:eastAsia="宋体" w:hAnsi="Arial" w:cs="Arial"/>
          <w:lang w:val="en-HK"/>
        </w:rPr>
        <w:t xml:space="preserve"> Since the financing wealth management and matching transactions included in the scope of FPA were adjusted in this period, the same-calibre adjustment was made to the data at the beginning of the period, with the opening balance of the adjusted FPA of RMB5,088.127 billion, of which amount of traditional financing amounted to RMB2,798.244 billion and amount of non-traditional financing amounted to RMB2,289.883 billion.</w:t>
      </w:r>
    </w:p>
  </w:footnote>
  <w:footnote w:id="2">
    <w:p w14:paraId="3E333445" w14:textId="4D698FF8" w:rsidR="00D56FA1" w:rsidRPr="009A017B" w:rsidRDefault="00D56FA1">
      <w:pPr>
        <w:pStyle w:val="a9"/>
        <w:rPr>
          <w:rFonts w:ascii="Arial" w:hAnsi="Arial" w:cs="Arial"/>
          <w:lang w:val="en-HK"/>
        </w:rPr>
      </w:pPr>
      <w:r w:rsidRPr="009A017B">
        <w:rPr>
          <w:rStyle w:val="ae"/>
          <w:rFonts w:ascii="Arial" w:hAnsi="Arial" w:cs="Arial"/>
        </w:rPr>
        <w:footnoteRef/>
      </w:r>
      <w:r w:rsidRPr="009A017B">
        <w:rPr>
          <w:rFonts w:ascii="Arial" w:hAnsi="Arial" w:cs="Arial"/>
          <w:lang w:val="en-HK"/>
        </w:rPr>
        <w:t xml:space="preserve"> Refers to the Golden card and Golden Sunflower card holders who have two or more types of wealth management</w:t>
      </w:r>
      <w:r>
        <w:rPr>
          <w:rFonts w:ascii="Arial" w:hAnsi="Arial" w:cs="Arial"/>
          <w:lang w:val="en-HK"/>
        </w:rPr>
        <w:t xml:space="preserve"> </w:t>
      </w:r>
      <w:r w:rsidRPr="009A017B">
        <w:rPr>
          <w:rFonts w:ascii="Arial" w:hAnsi="Arial" w:cs="Arial"/>
          <w:lang w:val="en-HK"/>
        </w:rPr>
        <w:t>products out of the four types of wealth management products, namely, active money management, security</w:t>
      </w:r>
      <w:r>
        <w:rPr>
          <w:rFonts w:ascii="Arial" w:hAnsi="Arial" w:cs="Arial"/>
          <w:lang w:val="en-HK"/>
        </w:rPr>
        <w:t xml:space="preserve"> </w:t>
      </w:r>
      <w:r w:rsidRPr="009A017B">
        <w:rPr>
          <w:rFonts w:ascii="Arial" w:hAnsi="Arial" w:cs="Arial"/>
          <w:lang w:val="en-HK"/>
        </w:rPr>
        <w:t>management, prudent investment and aggressive investment.</w:t>
      </w:r>
    </w:p>
  </w:footnote>
  <w:footnote w:id="3">
    <w:p w14:paraId="78D698CB" w14:textId="658A9B27" w:rsidR="00D367E1" w:rsidRPr="009A017B" w:rsidRDefault="00D367E1">
      <w:pPr>
        <w:pStyle w:val="a9"/>
        <w:rPr>
          <w:rFonts w:ascii="Arial" w:hAnsi="Arial" w:cs="Arial"/>
          <w:lang w:val="en-HK"/>
        </w:rPr>
      </w:pPr>
      <w:r w:rsidRPr="009A017B">
        <w:rPr>
          <w:rStyle w:val="ae"/>
          <w:rFonts w:ascii="Arial" w:hAnsi="Arial" w:cs="Arial"/>
        </w:rPr>
        <w:footnoteRef/>
      </w:r>
      <w:r w:rsidRPr="009A017B">
        <w:rPr>
          <w:rFonts w:ascii="Arial" w:hAnsi="Arial" w:cs="Arial"/>
          <w:lang w:val="en-HK"/>
        </w:rPr>
        <w:t xml:space="preserve"> The eight compositions of non-traditional financing include: asset operation, proprietary non-standardised corporate investments, financing wealth management, debt financing instruments with the Company as the lead underwriter, matching transactions, financial leasing, cross-border coordination financing and leading syndicated loans.</w:t>
      </w:r>
    </w:p>
  </w:footnote>
  <w:footnote w:id="4">
    <w:p w14:paraId="0CFAE6A9" w14:textId="02324D98" w:rsidR="00A8667A" w:rsidRPr="009A017B" w:rsidRDefault="00A8667A">
      <w:pPr>
        <w:pStyle w:val="a9"/>
        <w:rPr>
          <w:rFonts w:ascii="Arial" w:hAnsi="Arial" w:cs="Arial"/>
          <w:lang w:val="en-HK"/>
        </w:rPr>
      </w:pPr>
      <w:r w:rsidRPr="009A017B">
        <w:rPr>
          <w:rStyle w:val="ae"/>
          <w:rFonts w:ascii="Arial" w:hAnsi="Arial" w:cs="Arial"/>
        </w:rPr>
        <w:footnoteRef/>
      </w:r>
      <w:r w:rsidRPr="009A017B">
        <w:rPr>
          <w:rFonts w:ascii="Arial" w:hAnsi="Arial" w:cs="Arial"/>
          <w:lang w:val="en-HK"/>
        </w:rPr>
        <w:t xml:space="preserve"> The total volume of asset management business of China Merchants Fund and CMB International Capital both included the data of their respective subsidiaries.</w:t>
      </w:r>
    </w:p>
  </w:footnote>
  <w:footnote w:id="5">
    <w:p w14:paraId="211A49E0" w14:textId="30E91DD1" w:rsidR="0051194B" w:rsidRPr="009A017B" w:rsidRDefault="0051194B">
      <w:pPr>
        <w:pStyle w:val="a9"/>
        <w:rPr>
          <w:rFonts w:ascii="Arial" w:hAnsi="Arial" w:cs="Arial"/>
          <w:lang w:val="en-HK"/>
        </w:rPr>
      </w:pPr>
      <w:r w:rsidRPr="009A017B">
        <w:rPr>
          <w:rStyle w:val="ae"/>
          <w:rFonts w:ascii="Arial" w:hAnsi="Arial" w:cs="Arial"/>
        </w:rPr>
        <w:footnoteRef/>
      </w:r>
      <w:r w:rsidRPr="009A017B">
        <w:rPr>
          <w:rFonts w:ascii="Arial" w:hAnsi="Arial" w:cs="Arial"/>
          <w:lang w:val="en-HK"/>
        </w:rPr>
        <w:t xml:space="preserve"> Availability refers to the proportion of normal working conditions in a given period of time. The overall availability of the cloud platform is the arithmetic average of the availability of each important system running on the cloud platform.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6711" w14:textId="201BE558" w:rsidR="00687735" w:rsidRDefault="00505E26">
    <w:pPr>
      <w:pStyle w:val="a7"/>
      <w:wordWrap w:val="0"/>
      <w:jc w:val="right"/>
      <w:rPr>
        <w:rFonts w:ascii="宋体" w:eastAsia="宋体" w:hAnsi="宋体"/>
      </w:rPr>
    </w:pPr>
    <w:r>
      <w:rPr>
        <w:rFonts w:ascii="Calibri" w:hAnsi="Calibri"/>
        <w:noProof/>
      </w:rPr>
      <mc:AlternateContent>
        <mc:Choice Requires="wps">
          <w:drawing>
            <wp:anchor distT="0" distB="0" distL="114300" distR="114300" simplePos="0" relativeHeight="251659264" behindDoc="0" locked="0" layoutInCell="1" allowOverlap="1" wp14:anchorId="378E676D" wp14:editId="6D229809">
              <wp:simplePos x="0" y="0"/>
              <wp:positionH relativeFrom="column">
                <wp:posOffset>-814705</wp:posOffset>
              </wp:positionH>
              <wp:positionV relativeFrom="paragraph">
                <wp:posOffset>196215</wp:posOffset>
              </wp:positionV>
              <wp:extent cx="7581900" cy="224790"/>
              <wp:effectExtent l="5715" t="0" r="3810" b="3810"/>
              <wp:wrapNone/>
              <wp:docPr id="14" name="Rectangle: Rounded Corner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7581900" cy="224790"/>
                      </a:xfrm>
                      <a:prstGeom prst="roundRect">
                        <a:avLst>
                          <a:gd name="adj" fmla="val 0"/>
                        </a:avLst>
                      </a:prstGeom>
                      <a:gradFill rotWithShape="1">
                        <a:gsLst>
                          <a:gs pos="0">
                            <a:srgbClr val="FF0000">
                              <a:alpha val="92000"/>
                            </a:srgbClr>
                          </a:gs>
                          <a:gs pos="100000">
                            <a:srgbClr val="FFFFFF"/>
                          </a:gs>
                        </a:gsLst>
                        <a:lin ang="5400000" scaled="1"/>
                      </a:gradFill>
                      <a:ln>
                        <a:noFill/>
                      </a:ln>
                    </wps:spPr>
                    <wps:bodyPr rot="0" vert="horz" wrap="square" lIns="91440" tIns="45720" rIns="91440" bIns="45720" anchor="ctr" anchorCtr="0" upright="1">
                      <a:noAutofit/>
                    </wps:bodyPr>
                  </wps:wsp>
                </a:graphicData>
              </a:graphic>
            </wp:anchor>
          </w:drawing>
        </mc:Choice>
        <mc:Fallback xmlns:wpsCustomData="http://www.wps.cn/officeDocument/2013/wpsCustomData">
          <w:pict>
            <v:roundrect id="Rectangle: Rounded Corners 14" o:spid="_x0000_s1026" o:spt="2" style="position:absolute;left:0pt;flip:x y;margin-left:-64.15pt;margin-top:15.45pt;height:17.7pt;width:597pt;z-index:251659264;v-text-anchor:middle;mso-width-relative:page;mso-height-relative:page;" fillcolor="#FF0000" filled="t" stroked="f" coordsize="21600,21600" arcsize="0" o:gfxdata="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5Wg5C2gAAAAsBAAAPAAAAAAAAAAEAIAAAACIAAABkcnMvZG93bnJl&#10;di54bWxQSwECFAAUAAAACACHTuJAwkvY4m0CAADdBAAADgAAAAAAAAABACAAAAApAQAAZHJzL2Uy&#10;b0RvYy54bWxQSwUGAAAAAAYABgBZAQAACAYAAAAA&#10;">
              <v:fill type="gradient" on="t" color2="#FFFFFF" opacity="60293f" focus="100%" focussize="0,0" rotate="t"/>
              <v:stroke on="f"/>
              <v:imagedata o:title=""/>
              <o:lock v:ext="edit" aspectratio="f"/>
            </v:roundrect>
          </w:pict>
        </mc:Fallback>
      </mc:AlternateContent>
    </w:r>
    <w:r>
      <w:rPr>
        <w:rFonts w:ascii="Calibri" w:hAnsi="Calibri"/>
        <w:b/>
        <w:noProof/>
      </w:rPr>
      <w:drawing>
        <wp:anchor distT="0" distB="0" distL="114300" distR="114300" simplePos="0" relativeHeight="251660288" behindDoc="0" locked="0" layoutInCell="1" allowOverlap="1" wp14:anchorId="632F907F" wp14:editId="32C74276">
          <wp:simplePos x="0" y="0"/>
          <wp:positionH relativeFrom="column">
            <wp:posOffset>-382270</wp:posOffset>
          </wp:positionH>
          <wp:positionV relativeFrom="paragraph">
            <wp:posOffset>-347980</wp:posOffset>
          </wp:positionV>
          <wp:extent cx="2150745" cy="582295"/>
          <wp:effectExtent l="0" t="0" r="1905"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rot="-10800000" flipH="1" flipV="1">
                    <a:off x="0" y="0"/>
                    <a:ext cx="2150745" cy="582295"/>
                  </a:xfrm>
                  <a:prstGeom prst="rect">
                    <a:avLst/>
                  </a:prstGeom>
                  <a:noFill/>
                  <a:ln>
                    <a:noFill/>
                  </a:ln>
                </pic:spPr>
              </pic:pic>
            </a:graphicData>
          </a:graphic>
        </wp:anchor>
      </w:drawing>
    </w:r>
    <w:r w:rsidR="0057239A" w:rsidRPr="0057239A">
      <w:rPr>
        <w:rFonts w:ascii="Calibri" w:eastAsia="等线" w:hAnsi="Calibri" w:cs="Times New Roman"/>
        <w:b/>
        <w:lang w:val="en-HK"/>
      </w:rPr>
      <w:t xml:space="preserve"> Press Release – 202</w:t>
    </w:r>
    <w:r w:rsidR="008016BE">
      <w:rPr>
        <w:rFonts w:ascii="Calibri" w:eastAsia="等线" w:hAnsi="Calibri" w:cs="Times New Roman"/>
        <w:b/>
        <w:lang w:val="en-HK"/>
      </w:rPr>
      <w:t>3</w:t>
    </w:r>
    <w:r w:rsidR="0057239A" w:rsidRPr="0057239A">
      <w:rPr>
        <w:rFonts w:ascii="Calibri" w:eastAsia="等线" w:hAnsi="Calibri" w:cs="Times New Roman"/>
        <w:b/>
        <w:lang w:val="en-HK"/>
      </w:rPr>
      <w:t xml:space="preserve"> Interim Results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13667"/>
    <w:multiLevelType w:val="multilevel"/>
    <w:tmpl w:val="0EC1366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4412E9"/>
    <w:multiLevelType w:val="multilevel"/>
    <w:tmpl w:val="534412E9"/>
    <w:lvl w:ilvl="0">
      <w:start w:val="1"/>
      <w:numFmt w:val="bullet"/>
      <w:lvlText w:val=""/>
      <w:lvlJc w:val="left"/>
      <w:pPr>
        <w:tabs>
          <w:tab w:val="left" w:pos="420"/>
        </w:tabs>
        <w:ind w:left="420" w:hanging="420"/>
      </w:pPr>
      <w:rPr>
        <w:rFonts w:ascii="Wingdings" w:hAnsi="Wingdings" w:hint="default"/>
        <w:sz w:val="16"/>
      </w:rPr>
    </w:lvl>
    <w:lvl w:ilvl="1">
      <w:start w:val="1"/>
      <w:numFmt w:val="bullet"/>
      <w:lvlText w:val=""/>
      <w:lvlJc w:val="left"/>
      <w:pPr>
        <w:tabs>
          <w:tab w:val="left" w:pos="960"/>
        </w:tabs>
        <w:ind w:left="960" w:hanging="480"/>
      </w:pPr>
      <w:rPr>
        <w:rFonts w:ascii="Wingdings" w:hAnsi="Wingdings" w:hint="default"/>
      </w:rPr>
    </w:lvl>
    <w:lvl w:ilvl="2">
      <w:start w:val="1"/>
      <w:numFmt w:val="bullet"/>
      <w:lvlText w:val=""/>
      <w:lvlJc w:val="left"/>
      <w:pPr>
        <w:tabs>
          <w:tab w:val="left" w:pos="1440"/>
        </w:tabs>
        <w:ind w:left="1440" w:hanging="480"/>
      </w:pPr>
      <w:rPr>
        <w:rFonts w:ascii="Wingdings" w:hAnsi="Wingdings" w:hint="default"/>
      </w:rPr>
    </w:lvl>
    <w:lvl w:ilvl="3">
      <w:start w:val="1"/>
      <w:numFmt w:val="bullet"/>
      <w:lvlText w:val=""/>
      <w:lvlJc w:val="left"/>
      <w:pPr>
        <w:tabs>
          <w:tab w:val="left" w:pos="1920"/>
        </w:tabs>
        <w:ind w:left="1920" w:hanging="480"/>
      </w:pPr>
      <w:rPr>
        <w:rFonts w:ascii="Wingdings" w:hAnsi="Wingdings" w:hint="default"/>
      </w:rPr>
    </w:lvl>
    <w:lvl w:ilvl="4">
      <w:start w:val="1"/>
      <w:numFmt w:val="bullet"/>
      <w:lvlText w:val=""/>
      <w:lvlJc w:val="left"/>
      <w:pPr>
        <w:tabs>
          <w:tab w:val="left" w:pos="2400"/>
        </w:tabs>
        <w:ind w:left="2400" w:hanging="480"/>
      </w:pPr>
      <w:rPr>
        <w:rFonts w:ascii="Wingdings" w:hAnsi="Wingdings" w:hint="default"/>
      </w:rPr>
    </w:lvl>
    <w:lvl w:ilvl="5">
      <w:start w:val="1"/>
      <w:numFmt w:val="bullet"/>
      <w:lvlText w:val=""/>
      <w:lvlJc w:val="left"/>
      <w:pPr>
        <w:tabs>
          <w:tab w:val="left" w:pos="2880"/>
        </w:tabs>
        <w:ind w:left="2880" w:hanging="480"/>
      </w:pPr>
      <w:rPr>
        <w:rFonts w:ascii="Wingdings" w:hAnsi="Wingdings" w:hint="default"/>
      </w:rPr>
    </w:lvl>
    <w:lvl w:ilvl="6">
      <w:start w:val="1"/>
      <w:numFmt w:val="bullet"/>
      <w:lvlText w:val=""/>
      <w:lvlJc w:val="left"/>
      <w:pPr>
        <w:tabs>
          <w:tab w:val="left" w:pos="3360"/>
        </w:tabs>
        <w:ind w:left="3360" w:hanging="480"/>
      </w:pPr>
      <w:rPr>
        <w:rFonts w:ascii="Wingdings" w:hAnsi="Wingdings" w:hint="default"/>
      </w:rPr>
    </w:lvl>
    <w:lvl w:ilvl="7">
      <w:start w:val="1"/>
      <w:numFmt w:val="bullet"/>
      <w:lvlText w:val=""/>
      <w:lvlJc w:val="left"/>
      <w:pPr>
        <w:tabs>
          <w:tab w:val="left" w:pos="3840"/>
        </w:tabs>
        <w:ind w:left="3840" w:hanging="480"/>
      </w:pPr>
      <w:rPr>
        <w:rFonts w:ascii="Wingdings" w:hAnsi="Wingdings" w:hint="default"/>
      </w:rPr>
    </w:lvl>
    <w:lvl w:ilvl="8">
      <w:start w:val="1"/>
      <w:numFmt w:val="bullet"/>
      <w:lvlText w:val=""/>
      <w:lvlJc w:val="left"/>
      <w:pPr>
        <w:tabs>
          <w:tab w:val="left" w:pos="4320"/>
        </w:tabs>
        <w:ind w:left="4320" w:hanging="480"/>
      </w:pPr>
      <w:rPr>
        <w:rFonts w:ascii="Wingdings" w:hAnsi="Wingdings" w:hint="default"/>
      </w:rPr>
    </w:lvl>
  </w:abstractNum>
  <w:abstractNum w:abstractNumId="2" w15:restartNumberingAfterBreak="0">
    <w:nsid w:val="638540F5"/>
    <w:multiLevelType w:val="multilevel"/>
    <w:tmpl w:val="638540F5"/>
    <w:lvl w:ilvl="0">
      <w:start w:val="1"/>
      <w:numFmt w:val="bullet"/>
      <w:lvlText w:val=""/>
      <w:lvlJc w:val="left"/>
      <w:pPr>
        <w:tabs>
          <w:tab w:val="left" w:pos="420"/>
        </w:tabs>
        <w:ind w:left="420" w:hanging="420"/>
      </w:pPr>
      <w:rPr>
        <w:rFonts w:ascii="Wingdings" w:hAnsi="Wingdings" w:hint="default"/>
        <w:sz w:val="16"/>
      </w:rPr>
    </w:lvl>
    <w:lvl w:ilvl="1">
      <w:start w:val="1"/>
      <w:numFmt w:val="bullet"/>
      <w:lvlText w:val=""/>
      <w:lvlJc w:val="left"/>
      <w:pPr>
        <w:tabs>
          <w:tab w:val="left" w:pos="960"/>
        </w:tabs>
        <w:ind w:left="960" w:hanging="480"/>
      </w:pPr>
      <w:rPr>
        <w:rFonts w:ascii="Wingdings" w:hAnsi="Wingdings" w:hint="default"/>
      </w:rPr>
    </w:lvl>
    <w:lvl w:ilvl="2">
      <w:start w:val="1"/>
      <w:numFmt w:val="bullet"/>
      <w:lvlText w:val=""/>
      <w:lvlJc w:val="left"/>
      <w:pPr>
        <w:tabs>
          <w:tab w:val="left" w:pos="1440"/>
        </w:tabs>
        <w:ind w:left="1440" w:hanging="480"/>
      </w:pPr>
      <w:rPr>
        <w:rFonts w:ascii="Wingdings" w:hAnsi="Wingdings" w:hint="default"/>
      </w:rPr>
    </w:lvl>
    <w:lvl w:ilvl="3">
      <w:start w:val="1"/>
      <w:numFmt w:val="bullet"/>
      <w:lvlText w:val=""/>
      <w:lvlJc w:val="left"/>
      <w:pPr>
        <w:tabs>
          <w:tab w:val="left" w:pos="1920"/>
        </w:tabs>
        <w:ind w:left="1920" w:hanging="480"/>
      </w:pPr>
      <w:rPr>
        <w:rFonts w:ascii="Wingdings" w:hAnsi="Wingdings" w:hint="default"/>
      </w:rPr>
    </w:lvl>
    <w:lvl w:ilvl="4">
      <w:start w:val="1"/>
      <w:numFmt w:val="bullet"/>
      <w:lvlText w:val=""/>
      <w:lvlJc w:val="left"/>
      <w:pPr>
        <w:tabs>
          <w:tab w:val="left" w:pos="2400"/>
        </w:tabs>
        <w:ind w:left="2400" w:hanging="480"/>
      </w:pPr>
      <w:rPr>
        <w:rFonts w:ascii="Wingdings" w:hAnsi="Wingdings" w:hint="default"/>
      </w:rPr>
    </w:lvl>
    <w:lvl w:ilvl="5">
      <w:start w:val="1"/>
      <w:numFmt w:val="bullet"/>
      <w:lvlText w:val=""/>
      <w:lvlJc w:val="left"/>
      <w:pPr>
        <w:tabs>
          <w:tab w:val="left" w:pos="2880"/>
        </w:tabs>
        <w:ind w:left="2880" w:hanging="480"/>
      </w:pPr>
      <w:rPr>
        <w:rFonts w:ascii="Wingdings" w:hAnsi="Wingdings" w:hint="default"/>
      </w:rPr>
    </w:lvl>
    <w:lvl w:ilvl="6">
      <w:start w:val="1"/>
      <w:numFmt w:val="bullet"/>
      <w:lvlText w:val=""/>
      <w:lvlJc w:val="left"/>
      <w:pPr>
        <w:tabs>
          <w:tab w:val="left" w:pos="3360"/>
        </w:tabs>
        <w:ind w:left="3360" w:hanging="480"/>
      </w:pPr>
      <w:rPr>
        <w:rFonts w:ascii="Wingdings" w:hAnsi="Wingdings" w:hint="default"/>
      </w:rPr>
    </w:lvl>
    <w:lvl w:ilvl="7">
      <w:start w:val="1"/>
      <w:numFmt w:val="bullet"/>
      <w:lvlText w:val=""/>
      <w:lvlJc w:val="left"/>
      <w:pPr>
        <w:tabs>
          <w:tab w:val="left" w:pos="3840"/>
        </w:tabs>
        <w:ind w:left="3840" w:hanging="480"/>
      </w:pPr>
      <w:rPr>
        <w:rFonts w:ascii="Wingdings" w:hAnsi="Wingdings" w:hint="default"/>
      </w:rPr>
    </w:lvl>
    <w:lvl w:ilvl="8">
      <w:start w:val="1"/>
      <w:numFmt w:val="bullet"/>
      <w:lvlText w:val=""/>
      <w:lvlJc w:val="left"/>
      <w:pPr>
        <w:tabs>
          <w:tab w:val="left" w:pos="4320"/>
        </w:tabs>
        <w:ind w:left="4320" w:hanging="480"/>
      </w:pPr>
      <w:rPr>
        <w:rFonts w:ascii="Wingdings" w:hAnsi="Wingdings" w:hint="default"/>
      </w:rPr>
    </w:lvl>
  </w:abstractNum>
  <w:abstractNum w:abstractNumId="3" w15:restartNumberingAfterBreak="0">
    <w:nsid w:val="6B821B8E"/>
    <w:multiLevelType w:val="multilevel"/>
    <w:tmpl w:val="6B821B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FBB2848"/>
    <w:multiLevelType w:val="hybridMultilevel"/>
    <w:tmpl w:val="1BBEA5E0"/>
    <w:lvl w:ilvl="0" w:tplc="3C09000F">
      <w:start w:val="1"/>
      <w:numFmt w:val="decimal"/>
      <w:lvlText w:val="%1."/>
      <w:lvlJc w:val="left"/>
      <w:pPr>
        <w:ind w:left="1080" w:hanging="360"/>
      </w:pPr>
    </w:lvl>
    <w:lvl w:ilvl="1" w:tplc="3C090019" w:tentative="1">
      <w:start w:val="1"/>
      <w:numFmt w:val="lowerLetter"/>
      <w:lvlText w:val="%2."/>
      <w:lvlJc w:val="left"/>
      <w:pPr>
        <w:ind w:left="1800" w:hanging="360"/>
      </w:pPr>
    </w:lvl>
    <w:lvl w:ilvl="2" w:tplc="3C09001B" w:tentative="1">
      <w:start w:val="1"/>
      <w:numFmt w:val="lowerRoman"/>
      <w:lvlText w:val="%3."/>
      <w:lvlJc w:val="right"/>
      <w:pPr>
        <w:ind w:left="2520" w:hanging="180"/>
      </w:pPr>
    </w:lvl>
    <w:lvl w:ilvl="3" w:tplc="3C09000F" w:tentative="1">
      <w:start w:val="1"/>
      <w:numFmt w:val="decimal"/>
      <w:lvlText w:val="%4."/>
      <w:lvlJc w:val="left"/>
      <w:pPr>
        <w:ind w:left="3240" w:hanging="360"/>
      </w:pPr>
    </w:lvl>
    <w:lvl w:ilvl="4" w:tplc="3C090019" w:tentative="1">
      <w:start w:val="1"/>
      <w:numFmt w:val="lowerLetter"/>
      <w:lvlText w:val="%5."/>
      <w:lvlJc w:val="left"/>
      <w:pPr>
        <w:ind w:left="3960" w:hanging="360"/>
      </w:pPr>
    </w:lvl>
    <w:lvl w:ilvl="5" w:tplc="3C09001B" w:tentative="1">
      <w:start w:val="1"/>
      <w:numFmt w:val="lowerRoman"/>
      <w:lvlText w:val="%6."/>
      <w:lvlJc w:val="right"/>
      <w:pPr>
        <w:ind w:left="4680" w:hanging="180"/>
      </w:pPr>
    </w:lvl>
    <w:lvl w:ilvl="6" w:tplc="3C09000F" w:tentative="1">
      <w:start w:val="1"/>
      <w:numFmt w:val="decimal"/>
      <w:lvlText w:val="%7."/>
      <w:lvlJc w:val="left"/>
      <w:pPr>
        <w:ind w:left="5400" w:hanging="360"/>
      </w:pPr>
    </w:lvl>
    <w:lvl w:ilvl="7" w:tplc="3C090019" w:tentative="1">
      <w:start w:val="1"/>
      <w:numFmt w:val="lowerLetter"/>
      <w:lvlText w:val="%8."/>
      <w:lvlJc w:val="left"/>
      <w:pPr>
        <w:ind w:left="6120" w:hanging="360"/>
      </w:pPr>
    </w:lvl>
    <w:lvl w:ilvl="8" w:tplc="3C09001B" w:tentative="1">
      <w:start w:val="1"/>
      <w:numFmt w:val="lowerRoman"/>
      <w:lvlText w:val="%9."/>
      <w:lvlJc w:val="right"/>
      <w:pPr>
        <w:ind w:left="6840" w:hanging="180"/>
      </w:pPr>
    </w:lvl>
  </w:abstractNum>
  <w:abstractNum w:abstractNumId="5" w15:restartNumberingAfterBreak="0">
    <w:nsid w:val="761978A8"/>
    <w:multiLevelType w:val="multilevel"/>
    <w:tmpl w:val="761978A8"/>
    <w:lvl w:ilvl="0">
      <w:start w:val="1"/>
      <w:numFmt w:val="taiwaneseCountingThousand"/>
      <w:lvlText w:val="%1、"/>
      <w:lvlJc w:val="left"/>
      <w:pPr>
        <w:tabs>
          <w:tab w:val="left" w:pos="465"/>
        </w:tabs>
        <w:ind w:left="465" w:hanging="465"/>
      </w:pPr>
      <w:rPr>
        <w:rFonts w:eastAsia="宋体" w:hint="default"/>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6" w15:restartNumberingAfterBreak="0">
    <w:nsid w:val="7EAA1BB6"/>
    <w:multiLevelType w:val="multilevel"/>
    <w:tmpl w:val="7EAA1BB6"/>
    <w:lvl w:ilvl="0">
      <w:start w:val="1"/>
      <w:numFmt w:val="bullet"/>
      <w:lvlText w:val=""/>
      <w:lvlJc w:val="left"/>
      <w:pPr>
        <w:ind w:left="480" w:hanging="480"/>
      </w:pPr>
      <w:rPr>
        <w:rFonts w:ascii="Wingdings" w:hAnsi="Wingdings" w:hint="default"/>
        <w:sz w:val="16"/>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16cid:durableId="651716741">
    <w:abstractNumId w:val="6"/>
  </w:num>
  <w:num w:numId="2" w16cid:durableId="279606139">
    <w:abstractNumId w:val="2"/>
  </w:num>
  <w:num w:numId="3" w16cid:durableId="1314287035">
    <w:abstractNumId w:val="1"/>
  </w:num>
  <w:num w:numId="4" w16cid:durableId="1615674059">
    <w:abstractNumId w:val="5"/>
  </w:num>
  <w:num w:numId="5" w16cid:durableId="559366335">
    <w:abstractNumId w:val="0"/>
  </w:num>
  <w:num w:numId="6" w16cid:durableId="998070733">
    <w:abstractNumId w:val="3"/>
  </w:num>
  <w:num w:numId="7" w16cid:durableId="6608930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8C5"/>
    <w:rsid w:val="00002B63"/>
    <w:rsid w:val="00004EA1"/>
    <w:rsid w:val="00007CFC"/>
    <w:rsid w:val="00012CB1"/>
    <w:rsid w:val="000133A7"/>
    <w:rsid w:val="00015C4E"/>
    <w:rsid w:val="00016CEE"/>
    <w:rsid w:val="0001731F"/>
    <w:rsid w:val="000219B2"/>
    <w:rsid w:val="0002429A"/>
    <w:rsid w:val="00030801"/>
    <w:rsid w:val="0003188B"/>
    <w:rsid w:val="00033D5C"/>
    <w:rsid w:val="00034E1F"/>
    <w:rsid w:val="000352A7"/>
    <w:rsid w:val="0003565D"/>
    <w:rsid w:val="0003642D"/>
    <w:rsid w:val="00044A68"/>
    <w:rsid w:val="000465D4"/>
    <w:rsid w:val="00046D81"/>
    <w:rsid w:val="00047F35"/>
    <w:rsid w:val="00050658"/>
    <w:rsid w:val="00050B0A"/>
    <w:rsid w:val="0005531A"/>
    <w:rsid w:val="00061E97"/>
    <w:rsid w:val="00061F10"/>
    <w:rsid w:val="00072790"/>
    <w:rsid w:val="000738BC"/>
    <w:rsid w:val="00075251"/>
    <w:rsid w:val="00076D81"/>
    <w:rsid w:val="00090030"/>
    <w:rsid w:val="00095AFB"/>
    <w:rsid w:val="000962AC"/>
    <w:rsid w:val="00097A8F"/>
    <w:rsid w:val="000A0C22"/>
    <w:rsid w:val="000A23B4"/>
    <w:rsid w:val="000A2907"/>
    <w:rsid w:val="000A2B1C"/>
    <w:rsid w:val="000A2FBE"/>
    <w:rsid w:val="000A50DC"/>
    <w:rsid w:val="000B104C"/>
    <w:rsid w:val="000B6881"/>
    <w:rsid w:val="000C0D7B"/>
    <w:rsid w:val="000C26BF"/>
    <w:rsid w:val="000D1167"/>
    <w:rsid w:val="000D3422"/>
    <w:rsid w:val="000D381C"/>
    <w:rsid w:val="000D38A6"/>
    <w:rsid w:val="000D7849"/>
    <w:rsid w:val="000E0A9C"/>
    <w:rsid w:val="000F17DE"/>
    <w:rsid w:val="000F2D15"/>
    <w:rsid w:val="000F3F21"/>
    <w:rsid w:val="000F6486"/>
    <w:rsid w:val="00101E28"/>
    <w:rsid w:val="0010710A"/>
    <w:rsid w:val="001103A4"/>
    <w:rsid w:val="00110D9B"/>
    <w:rsid w:val="00122AEE"/>
    <w:rsid w:val="00124061"/>
    <w:rsid w:val="0014214A"/>
    <w:rsid w:val="001454A7"/>
    <w:rsid w:val="0014566B"/>
    <w:rsid w:val="001463F8"/>
    <w:rsid w:val="00146BBA"/>
    <w:rsid w:val="00154841"/>
    <w:rsid w:val="001579B2"/>
    <w:rsid w:val="00157A9B"/>
    <w:rsid w:val="00163A10"/>
    <w:rsid w:val="001663C7"/>
    <w:rsid w:val="00174A1E"/>
    <w:rsid w:val="00174FD0"/>
    <w:rsid w:val="0018626D"/>
    <w:rsid w:val="00186F7F"/>
    <w:rsid w:val="00190B3E"/>
    <w:rsid w:val="0019389A"/>
    <w:rsid w:val="00194551"/>
    <w:rsid w:val="0019766A"/>
    <w:rsid w:val="001A135F"/>
    <w:rsid w:val="001A1AC7"/>
    <w:rsid w:val="001A4064"/>
    <w:rsid w:val="001A6751"/>
    <w:rsid w:val="001B6D51"/>
    <w:rsid w:val="001C0202"/>
    <w:rsid w:val="001C44EA"/>
    <w:rsid w:val="001D7693"/>
    <w:rsid w:val="001E0319"/>
    <w:rsid w:val="001E250E"/>
    <w:rsid w:val="001E6CAB"/>
    <w:rsid w:val="001F00D9"/>
    <w:rsid w:val="001F1F3C"/>
    <w:rsid w:val="001F28D4"/>
    <w:rsid w:val="002015ED"/>
    <w:rsid w:val="00201C0C"/>
    <w:rsid w:val="00202D6A"/>
    <w:rsid w:val="00207841"/>
    <w:rsid w:val="002124CC"/>
    <w:rsid w:val="00213C34"/>
    <w:rsid w:val="002155D0"/>
    <w:rsid w:val="002323AB"/>
    <w:rsid w:val="002342FF"/>
    <w:rsid w:val="002344EA"/>
    <w:rsid w:val="002346A7"/>
    <w:rsid w:val="00237D27"/>
    <w:rsid w:val="0024025D"/>
    <w:rsid w:val="00247192"/>
    <w:rsid w:val="00252A03"/>
    <w:rsid w:val="002531CD"/>
    <w:rsid w:val="00253F99"/>
    <w:rsid w:val="00260106"/>
    <w:rsid w:val="002621E5"/>
    <w:rsid w:val="00262BF0"/>
    <w:rsid w:val="002646C9"/>
    <w:rsid w:val="002661A4"/>
    <w:rsid w:val="00266C03"/>
    <w:rsid w:val="002730BA"/>
    <w:rsid w:val="0027319C"/>
    <w:rsid w:val="002757F3"/>
    <w:rsid w:val="00277F3C"/>
    <w:rsid w:val="0028520D"/>
    <w:rsid w:val="00290CF7"/>
    <w:rsid w:val="00292C90"/>
    <w:rsid w:val="00295820"/>
    <w:rsid w:val="00296D4B"/>
    <w:rsid w:val="002A45D4"/>
    <w:rsid w:val="002A4AB6"/>
    <w:rsid w:val="002B3C12"/>
    <w:rsid w:val="002C3262"/>
    <w:rsid w:val="002C5A38"/>
    <w:rsid w:val="002C768D"/>
    <w:rsid w:val="002D0084"/>
    <w:rsid w:val="002D50D5"/>
    <w:rsid w:val="002E2EC3"/>
    <w:rsid w:val="002E328E"/>
    <w:rsid w:val="002E3A2F"/>
    <w:rsid w:val="002E6D35"/>
    <w:rsid w:val="002F0B05"/>
    <w:rsid w:val="002F1005"/>
    <w:rsid w:val="002F1D58"/>
    <w:rsid w:val="002F399A"/>
    <w:rsid w:val="00302869"/>
    <w:rsid w:val="003075B7"/>
    <w:rsid w:val="00310B64"/>
    <w:rsid w:val="00312EEC"/>
    <w:rsid w:val="00321BDC"/>
    <w:rsid w:val="00325A06"/>
    <w:rsid w:val="00327ED6"/>
    <w:rsid w:val="00331A85"/>
    <w:rsid w:val="00332B7C"/>
    <w:rsid w:val="00333D29"/>
    <w:rsid w:val="00336BBC"/>
    <w:rsid w:val="003405A2"/>
    <w:rsid w:val="003458F9"/>
    <w:rsid w:val="00352443"/>
    <w:rsid w:val="0035380F"/>
    <w:rsid w:val="003543FB"/>
    <w:rsid w:val="0035625F"/>
    <w:rsid w:val="00367C80"/>
    <w:rsid w:val="003712D8"/>
    <w:rsid w:val="00371A22"/>
    <w:rsid w:val="003736C5"/>
    <w:rsid w:val="00377F58"/>
    <w:rsid w:val="00381E3E"/>
    <w:rsid w:val="00383738"/>
    <w:rsid w:val="00387C67"/>
    <w:rsid w:val="003906E8"/>
    <w:rsid w:val="00395B05"/>
    <w:rsid w:val="003A0230"/>
    <w:rsid w:val="003B230A"/>
    <w:rsid w:val="003C1C48"/>
    <w:rsid w:val="003C1EF9"/>
    <w:rsid w:val="003C355F"/>
    <w:rsid w:val="003C5816"/>
    <w:rsid w:val="003C6BC3"/>
    <w:rsid w:val="003D1B73"/>
    <w:rsid w:val="003D1CCD"/>
    <w:rsid w:val="003E20BD"/>
    <w:rsid w:val="003E42EC"/>
    <w:rsid w:val="003F3B24"/>
    <w:rsid w:val="00401B78"/>
    <w:rsid w:val="00417F01"/>
    <w:rsid w:val="00425F82"/>
    <w:rsid w:val="0043534E"/>
    <w:rsid w:val="00441ABF"/>
    <w:rsid w:val="00450D2B"/>
    <w:rsid w:val="00456FCB"/>
    <w:rsid w:val="00467A62"/>
    <w:rsid w:val="0047182C"/>
    <w:rsid w:val="00471AA0"/>
    <w:rsid w:val="00475009"/>
    <w:rsid w:val="00480239"/>
    <w:rsid w:val="0048116B"/>
    <w:rsid w:val="0048282E"/>
    <w:rsid w:val="0048348F"/>
    <w:rsid w:val="004841C8"/>
    <w:rsid w:val="0048768A"/>
    <w:rsid w:val="004A44A9"/>
    <w:rsid w:val="004A59EA"/>
    <w:rsid w:val="004A6C96"/>
    <w:rsid w:val="004B0788"/>
    <w:rsid w:val="004B67B3"/>
    <w:rsid w:val="004B6909"/>
    <w:rsid w:val="004B7F10"/>
    <w:rsid w:val="004C4A1A"/>
    <w:rsid w:val="004D17F9"/>
    <w:rsid w:val="004D2D6F"/>
    <w:rsid w:val="004E0B2C"/>
    <w:rsid w:val="004E2D0D"/>
    <w:rsid w:val="004E4443"/>
    <w:rsid w:val="004E73FA"/>
    <w:rsid w:val="004E745D"/>
    <w:rsid w:val="004F034A"/>
    <w:rsid w:val="004F1DE8"/>
    <w:rsid w:val="004F7E17"/>
    <w:rsid w:val="00500059"/>
    <w:rsid w:val="00501615"/>
    <w:rsid w:val="00502CA9"/>
    <w:rsid w:val="00504AEE"/>
    <w:rsid w:val="00505E26"/>
    <w:rsid w:val="00507DCE"/>
    <w:rsid w:val="0051194B"/>
    <w:rsid w:val="005163EA"/>
    <w:rsid w:val="005172BB"/>
    <w:rsid w:val="005179C1"/>
    <w:rsid w:val="00520FCD"/>
    <w:rsid w:val="00526188"/>
    <w:rsid w:val="00530114"/>
    <w:rsid w:val="005325A5"/>
    <w:rsid w:val="00532DE9"/>
    <w:rsid w:val="00542F34"/>
    <w:rsid w:val="00545ABA"/>
    <w:rsid w:val="00551CBA"/>
    <w:rsid w:val="00553B5F"/>
    <w:rsid w:val="00557B2E"/>
    <w:rsid w:val="00560E22"/>
    <w:rsid w:val="0057239A"/>
    <w:rsid w:val="00592B06"/>
    <w:rsid w:val="0059662B"/>
    <w:rsid w:val="005B049F"/>
    <w:rsid w:val="005B279A"/>
    <w:rsid w:val="005B3F5D"/>
    <w:rsid w:val="005C09B7"/>
    <w:rsid w:val="005C20DA"/>
    <w:rsid w:val="005C4505"/>
    <w:rsid w:val="005D088D"/>
    <w:rsid w:val="005D1FF3"/>
    <w:rsid w:val="005D2A00"/>
    <w:rsid w:val="005D5E51"/>
    <w:rsid w:val="005D6B8F"/>
    <w:rsid w:val="005E4DE6"/>
    <w:rsid w:val="005F0674"/>
    <w:rsid w:val="005F6A87"/>
    <w:rsid w:val="005F6A8E"/>
    <w:rsid w:val="006015CC"/>
    <w:rsid w:val="0060448B"/>
    <w:rsid w:val="00605527"/>
    <w:rsid w:val="00612D22"/>
    <w:rsid w:val="0061379E"/>
    <w:rsid w:val="006172F0"/>
    <w:rsid w:val="00624D0A"/>
    <w:rsid w:val="00633B6B"/>
    <w:rsid w:val="00634D4A"/>
    <w:rsid w:val="00635B09"/>
    <w:rsid w:val="00642C83"/>
    <w:rsid w:val="0064442D"/>
    <w:rsid w:val="00644B67"/>
    <w:rsid w:val="006468D7"/>
    <w:rsid w:val="0064702E"/>
    <w:rsid w:val="0065141D"/>
    <w:rsid w:val="006536C4"/>
    <w:rsid w:val="006541E6"/>
    <w:rsid w:val="00662131"/>
    <w:rsid w:val="006645BD"/>
    <w:rsid w:val="00667044"/>
    <w:rsid w:val="00667F0A"/>
    <w:rsid w:val="0067147E"/>
    <w:rsid w:val="0067197D"/>
    <w:rsid w:val="006719DE"/>
    <w:rsid w:val="0067625F"/>
    <w:rsid w:val="0068099E"/>
    <w:rsid w:val="006857FD"/>
    <w:rsid w:val="00686B87"/>
    <w:rsid w:val="00687735"/>
    <w:rsid w:val="00687D52"/>
    <w:rsid w:val="006926D9"/>
    <w:rsid w:val="006948B6"/>
    <w:rsid w:val="00695B15"/>
    <w:rsid w:val="006A3D55"/>
    <w:rsid w:val="006A425C"/>
    <w:rsid w:val="006A450B"/>
    <w:rsid w:val="006A7472"/>
    <w:rsid w:val="006A7A10"/>
    <w:rsid w:val="006B3621"/>
    <w:rsid w:val="006C16BF"/>
    <w:rsid w:val="006C4DCE"/>
    <w:rsid w:val="006C7F31"/>
    <w:rsid w:val="006D0E79"/>
    <w:rsid w:val="006D243B"/>
    <w:rsid w:val="006D3D37"/>
    <w:rsid w:val="006D3EAB"/>
    <w:rsid w:val="006D571E"/>
    <w:rsid w:val="006D7537"/>
    <w:rsid w:val="006E7701"/>
    <w:rsid w:val="00703091"/>
    <w:rsid w:val="00706FC4"/>
    <w:rsid w:val="00712A3B"/>
    <w:rsid w:val="00721BC6"/>
    <w:rsid w:val="007306A1"/>
    <w:rsid w:val="007359B1"/>
    <w:rsid w:val="007361AE"/>
    <w:rsid w:val="00741DAE"/>
    <w:rsid w:val="00743D05"/>
    <w:rsid w:val="007453EE"/>
    <w:rsid w:val="007509AC"/>
    <w:rsid w:val="00756BAE"/>
    <w:rsid w:val="00763847"/>
    <w:rsid w:val="007743F7"/>
    <w:rsid w:val="00781EF1"/>
    <w:rsid w:val="00782B19"/>
    <w:rsid w:val="00786783"/>
    <w:rsid w:val="00787228"/>
    <w:rsid w:val="00793C21"/>
    <w:rsid w:val="007979E6"/>
    <w:rsid w:val="007A74CF"/>
    <w:rsid w:val="007B447D"/>
    <w:rsid w:val="007C3B93"/>
    <w:rsid w:val="007C3C5A"/>
    <w:rsid w:val="007C3D9F"/>
    <w:rsid w:val="007C48FC"/>
    <w:rsid w:val="007D31A6"/>
    <w:rsid w:val="007D4769"/>
    <w:rsid w:val="007D55BA"/>
    <w:rsid w:val="007D6D1F"/>
    <w:rsid w:val="007D71D0"/>
    <w:rsid w:val="007E04C9"/>
    <w:rsid w:val="007E1654"/>
    <w:rsid w:val="007E5DE5"/>
    <w:rsid w:val="007E6C20"/>
    <w:rsid w:val="007E7DB3"/>
    <w:rsid w:val="007F133C"/>
    <w:rsid w:val="007F158C"/>
    <w:rsid w:val="007F24E2"/>
    <w:rsid w:val="007F2A2F"/>
    <w:rsid w:val="007F6C10"/>
    <w:rsid w:val="007F7359"/>
    <w:rsid w:val="007F751A"/>
    <w:rsid w:val="008016BE"/>
    <w:rsid w:val="00803A75"/>
    <w:rsid w:val="00804A26"/>
    <w:rsid w:val="008056EB"/>
    <w:rsid w:val="00816EBA"/>
    <w:rsid w:val="00821252"/>
    <w:rsid w:val="00825AE7"/>
    <w:rsid w:val="00840081"/>
    <w:rsid w:val="00845F8E"/>
    <w:rsid w:val="00851E29"/>
    <w:rsid w:val="00851F8E"/>
    <w:rsid w:val="00853F78"/>
    <w:rsid w:val="0085549A"/>
    <w:rsid w:val="008620D8"/>
    <w:rsid w:val="008657A6"/>
    <w:rsid w:val="00876F46"/>
    <w:rsid w:val="00885D5D"/>
    <w:rsid w:val="00890D92"/>
    <w:rsid w:val="0089252E"/>
    <w:rsid w:val="008977FE"/>
    <w:rsid w:val="008B482F"/>
    <w:rsid w:val="008B62EE"/>
    <w:rsid w:val="008C23A6"/>
    <w:rsid w:val="008D5872"/>
    <w:rsid w:val="008E1612"/>
    <w:rsid w:val="008E593F"/>
    <w:rsid w:val="008E771E"/>
    <w:rsid w:val="008F73DD"/>
    <w:rsid w:val="009011D7"/>
    <w:rsid w:val="00910CB3"/>
    <w:rsid w:val="009149F0"/>
    <w:rsid w:val="00916FBD"/>
    <w:rsid w:val="00917BAB"/>
    <w:rsid w:val="009256A0"/>
    <w:rsid w:val="0092632B"/>
    <w:rsid w:val="00933100"/>
    <w:rsid w:val="009458FE"/>
    <w:rsid w:val="00951F83"/>
    <w:rsid w:val="00960FD1"/>
    <w:rsid w:val="00963455"/>
    <w:rsid w:val="00965B6D"/>
    <w:rsid w:val="009672A8"/>
    <w:rsid w:val="00967583"/>
    <w:rsid w:val="00974200"/>
    <w:rsid w:val="00980856"/>
    <w:rsid w:val="0098321E"/>
    <w:rsid w:val="00984B9D"/>
    <w:rsid w:val="00985A2C"/>
    <w:rsid w:val="00985EEF"/>
    <w:rsid w:val="00986E65"/>
    <w:rsid w:val="00990A82"/>
    <w:rsid w:val="0099659F"/>
    <w:rsid w:val="0099666E"/>
    <w:rsid w:val="009973D0"/>
    <w:rsid w:val="009A017B"/>
    <w:rsid w:val="009A2BCF"/>
    <w:rsid w:val="009A5312"/>
    <w:rsid w:val="009A70F4"/>
    <w:rsid w:val="009A73FC"/>
    <w:rsid w:val="009B2460"/>
    <w:rsid w:val="009B4ADF"/>
    <w:rsid w:val="009B743C"/>
    <w:rsid w:val="009C2054"/>
    <w:rsid w:val="009C3342"/>
    <w:rsid w:val="009C7A97"/>
    <w:rsid w:val="009D28E3"/>
    <w:rsid w:val="009D297D"/>
    <w:rsid w:val="009D3320"/>
    <w:rsid w:val="009E2331"/>
    <w:rsid w:val="009E4CA0"/>
    <w:rsid w:val="009F38C5"/>
    <w:rsid w:val="009F43EE"/>
    <w:rsid w:val="009F4B72"/>
    <w:rsid w:val="00A05BDA"/>
    <w:rsid w:val="00A15F62"/>
    <w:rsid w:val="00A20F5E"/>
    <w:rsid w:val="00A21BD6"/>
    <w:rsid w:val="00A260D8"/>
    <w:rsid w:val="00A276C7"/>
    <w:rsid w:val="00A27F73"/>
    <w:rsid w:val="00A30334"/>
    <w:rsid w:val="00A34B6D"/>
    <w:rsid w:val="00A351DF"/>
    <w:rsid w:val="00A35902"/>
    <w:rsid w:val="00A53307"/>
    <w:rsid w:val="00A63876"/>
    <w:rsid w:val="00A64096"/>
    <w:rsid w:val="00A666A6"/>
    <w:rsid w:val="00A71DDB"/>
    <w:rsid w:val="00A7417A"/>
    <w:rsid w:val="00A80BF0"/>
    <w:rsid w:val="00A83130"/>
    <w:rsid w:val="00A85FAD"/>
    <w:rsid w:val="00A8667A"/>
    <w:rsid w:val="00A9059A"/>
    <w:rsid w:val="00A93135"/>
    <w:rsid w:val="00A93853"/>
    <w:rsid w:val="00A95BC5"/>
    <w:rsid w:val="00AA231C"/>
    <w:rsid w:val="00AA7F0D"/>
    <w:rsid w:val="00AB1BC1"/>
    <w:rsid w:val="00AC02F5"/>
    <w:rsid w:val="00AC19DB"/>
    <w:rsid w:val="00AC48C2"/>
    <w:rsid w:val="00AD1CAE"/>
    <w:rsid w:val="00AD2194"/>
    <w:rsid w:val="00AD2BCC"/>
    <w:rsid w:val="00AD38D3"/>
    <w:rsid w:val="00AE0BFD"/>
    <w:rsid w:val="00AE1D92"/>
    <w:rsid w:val="00AF0EFC"/>
    <w:rsid w:val="00AF333A"/>
    <w:rsid w:val="00AF397C"/>
    <w:rsid w:val="00AF5CFF"/>
    <w:rsid w:val="00AF632B"/>
    <w:rsid w:val="00B02760"/>
    <w:rsid w:val="00B03D81"/>
    <w:rsid w:val="00B052DE"/>
    <w:rsid w:val="00B05F5F"/>
    <w:rsid w:val="00B07F0B"/>
    <w:rsid w:val="00B13A45"/>
    <w:rsid w:val="00B267C0"/>
    <w:rsid w:val="00B270C7"/>
    <w:rsid w:val="00B30B94"/>
    <w:rsid w:val="00B363E0"/>
    <w:rsid w:val="00B40E7F"/>
    <w:rsid w:val="00B4787B"/>
    <w:rsid w:val="00B47D4B"/>
    <w:rsid w:val="00B47D5E"/>
    <w:rsid w:val="00B53CFE"/>
    <w:rsid w:val="00B56D20"/>
    <w:rsid w:val="00B637CD"/>
    <w:rsid w:val="00B645C3"/>
    <w:rsid w:val="00B7215D"/>
    <w:rsid w:val="00B81377"/>
    <w:rsid w:val="00B8477D"/>
    <w:rsid w:val="00B903F9"/>
    <w:rsid w:val="00B90A47"/>
    <w:rsid w:val="00B91820"/>
    <w:rsid w:val="00B9424A"/>
    <w:rsid w:val="00B963A5"/>
    <w:rsid w:val="00B96D83"/>
    <w:rsid w:val="00BA7990"/>
    <w:rsid w:val="00BC1094"/>
    <w:rsid w:val="00BC1262"/>
    <w:rsid w:val="00BC1E5A"/>
    <w:rsid w:val="00BC2F87"/>
    <w:rsid w:val="00BD7C77"/>
    <w:rsid w:val="00BE26E6"/>
    <w:rsid w:val="00BE4CF0"/>
    <w:rsid w:val="00BE4D7E"/>
    <w:rsid w:val="00BE6E1B"/>
    <w:rsid w:val="00BF096D"/>
    <w:rsid w:val="00BF5E49"/>
    <w:rsid w:val="00C033BB"/>
    <w:rsid w:val="00C03920"/>
    <w:rsid w:val="00C14EDD"/>
    <w:rsid w:val="00C3203D"/>
    <w:rsid w:val="00C3650F"/>
    <w:rsid w:val="00C40F60"/>
    <w:rsid w:val="00C52FEA"/>
    <w:rsid w:val="00C554A4"/>
    <w:rsid w:val="00C60DE4"/>
    <w:rsid w:val="00C63043"/>
    <w:rsid w:val="00C64354"/>
    <w:rsid w:val="00C67573"/>
    <w:rsid w:val="00C83C3A"/>
    <w:rsid w:val="00C86B70"/>
    <w:rsid w:val="00C902C0"/>
    <w:rsid w:val="00CA3807"/>
    <w:rsid w:val="00CA489A"/>
    <w:rsid w:val="00CA69E1"/>
    <w:rsid w:val="00CA7DD5"/>
    <w:rsid w:val="00CB0782"/>
    <w:rsid w:val="00CB7347"/>
    <w:rsid w:val="00CC1A20"/>
    <w:rsid w:val="00CC4E9A"/>
    <w:rsid w:val="00CC52BC"/>
    <w:rsid w:val="00CD11C7"/>
    <w:rsid w:val="00CD1632"/>
    <w:rsid w:val="00CD596F"/>
    <w:rsid w:val="00CE233C"/>
    <w:rsid w:val="00CE2510"/>
    <w:rsid w:val="00CF0E73"/>
    <w:rsid w:val="00CF1B3F"/>
    <w:rsid w:val="00CF2BDF"/>
    <w:rsid w:val="00CF3B8D"/>
    <w:rsid w:val="00CF625B"/>
    <w:rsid w:val="00CF7839"/>
    <w:rsid w:val="00D003D6"/>
    <w:rsid w:val="00D0184E"/>
    <w:rsid w:val="00D04588"/>
    <w:rsid w:val="00D05BC2"/>
    <w:rsid w:val="00D05F18"/>
    <w:rsid w:val="00D074C2"/>
    <w:rsid w:val="00D23CC5"/>
    <w:rsid w:val="00D2425A"/>
    <w:rsid w:val="00D26FD8"/>
    <w:rsid w:val="00D30377"/>
    <w:rsid w:val="00D31F23"/>
    <w:rsid w:val="00D34873"/>
    <w:rsid w:val="00D367E1"/>
    <w:rsid w:val="00D36F1F"/>
    <w:rsid w:val="00D37057"/>
    <w:rsid w:val="00D3736A"/>
    <w:rsid w:val="00D42439"/>
    <w:rsid w:val="00D46431"/>
    <w:rsid w:val="00D47C41"/>
    <w:rsid w:val="00D522FE"/>
    <w:rsid w:val="00D56FA1"/>
    <w:rsid w:val="00D5771F"/>
    <w:rsid w:val="00D61511"/>
    <w:rsid w:val="00D634C5"/>
    <w:rsid w:val="00D6602D"/>
    <w:rsid w:val="00D75795"/>
    <w:rsid w:val="00D84719"/>
    <w:rsid w:val="00D876B0"/>
    <w:rsid w:val="00DA0E45"/>
    <w:rsid w:val="00DA3C92"/>
    <w:rsid w:val="00DA4E92"/>
    <w:rsid w:val="00DC00BB"/>
    <w:rsid w:val="00DC5239"/>
    <w:rsid w:val="00DC6E48"/>
    <w:rsid w:val="00DC7393"/>
    <w:rsid w:val="00DC74B4"/>
    <w:rsid w:val="00DD023A"/>
    <w:rsid w:val="00DD552E"/>
    <w:rsid w:val="00DD657D"/>
    <w:rsid w:val="00DD79CB"/>
    <w:rsid w:val="00DD7DA7"/>
    <w:rsid w:val="00DE3866"/>
    <w:rsid w:val="00DE657C"/>
    <w:rsid w:val="00DE6886"/>
    <w:rsid w:val="00E0097A"/>
    <w:rsid w:val="00E01443"/>
    <w:rsid w:val="00E162EE"/>
    <w:rsid w:val="00E20920"/>
    <w:rsid w:val="00E32D68"/>
    <w:rsid w:val="00E3635D"/>
    <w:rsid w:val="00E44EBF"/>
    <w:rsid w:val="00E456E2"/>
    <w:rsid w:val="00E505E4"/>
    <w:rsid w:val="00E535A1"/>
    <w:rsid w:val="00E53C39"/>
    <w:rsid w:val="00E6576C"/>
    <w:rsid w:val="00E66557"/>
    <w:rsid w:val="00E82098"/>
    <w:rsid w:val="00E84AE9"/>
    <w:rsid w:val="00E8756B"/>
    <w:rsid w:val="00E87B24"/>
    <w:rsid w:val="00E906D9"/>
    <w:rsid w:val="00E93D96"/>
    <w:rsid w:val="00E95C7D"/>
    <w:rsid w:val="00EA0BE6"/>
    <w:rsid w:val="00EA1324"/>
    <w:rsid w:val="00EB719A"/>
    <w:rsid w:val="00ED16E8"/>
    <w:rsid w:val="00ED21A7"/>
    <w:rsid w:val="00EE571D"/>
    <w:rsid w:val="00EE73F3"/>
    <w:rsid w:val="00EF054E"/>
    <w:rsid w:val="00EF1B44"/>
    <w:rsid w:val="00F00C8C"/>
    <w:rsid w:val="00F0172B"/>
    <w:rsid w:val="00F075F7"/>
    <w:rsid w:val="00F07DC4"/>
    <w:rsid w:val="00F104F7"/>
    <w:rsid w:val="00F11371"/>
    <w:rsid w:val="00F13697"/>
    <w:rsid w:val="00F151DF"/>
    <w:rsid w:val="00F16C6D"/>
    <w:rsid w:val="00F2073B"/>
    <w:rsid w:val="00F21A7D"/>
    <w:rsid w:val="00F26F75"/>
    <w:rsid w:val="00F278E0"/>
    <w:rsid w:val="00F27D35"/>
    <w:rsid w:val="00F321D8"/>
    <w:rsid w:val="00F37E6E"/>
    <w:rsid w:val="00F4478A"/>
    <w:rsid w:val="00F44DBD"/>
    <w:rsid w:val="00F50F54"/>
    <w:rsid w:val="00F51653"/>
    <w:rsid w:val="00F53EC2"/>
    <w:rsid w:val="00F53FE7"/>
    <w:rsid w:val="00F55AD7"/>
    <w:rsid w:val="00F639DD"/>
    <w:rsid w:val="00F63F1F"/>
    <w:rsid w:val="00F665A7"/>
    <w:rsid w:val="00F700D6"/>
    <w:rsid w:val="00F72A40"/>
    <w:rsid w:val="00F7461A"/>
    <w:rsid w:val="00F75A8E"/>
    <w:rsid w:val="00F83F54"/>
    <w:rsid w:val="00F857BC"/>
    <w:rsid w:val="00FA2BC0"/>
    <w:rsid w:val="00FA34C3"/>
    <w:rsid w:val="00FC463C"/>
    <w:rsid w:val="00FD1AFA"/>
    <w:rsid w:val="00FD2EBB"/>
    <w:rsid w:val="00FD3953"/>
    <w:rsid w:val="00FD453E"/>
    <w:rsid w:val="00FD4D72"/>
    <w:rsid w:val="00FD6861"/>
    <w:rsid w:val="00FD7A2D"/>
    <w:rsid w:val="00FE00D4"/>
    <w:rsid w:val="00FE30A2"/>
    <w:rsid w:val="00FE3973"/>
    <w:rsid w:val="00FF2C11"/>
    <w:rsid w:val="00FF2D2D"/>
    <w:rsid w:val="00FF4283"/>
    <w:rsid w:val="00FF63D5"/>
    <w:rsid w:val="24121414"/>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24650DE"/>
  <w15:docId w15:val="{8DC2D321-4F02-46E2-86E7-84D94541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2"/>
      <w:szCs w:val="2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spacing w:line="240" w:lineRule="auto"/>
    </w:pPr>
    <w:rPr>
      <w:sz w:val="20"/>
      <w:szCs w:val="20"/>
    </w:rPr>
  </w:style>
  <w:style w:type="paragraph" w:styleId="a5">
    <w:name w:val="footer"/>
    <w:basedOn w:val="a"/>
    <w:link w:val="a6"/>
    <w:uiPriority w:val="99"/>
    <w:unhideWhenUsed/>
    <w:pPr>
      <w:tabs>
        <w:tab w:val="center" w:pos="4513"/>
        <w:tab w:val="right" w:pos="9026"/>
      </w:tabs>
      <w:spacing w:after="0" w:line="240" w:lineRule="auto"/>
    </w:pPr>
  </w:style>
  <w:style w:type="paragraph" w:styleId="a7">
    <w:name w:val="header"/>
    <w:basedOn w:val="a"/>
    <w:link w:val="a8"/>
    <w:uiPriority w:val="99"/>
    <w:unhideWhenUsed/>
    <w:pPr>
      <w:tabs>
        <w:tab w:val="center" w:pos="4513"/>
        <w:tab w:val="right" w:pos="9026"/>
      </w:tabs>
      <w:spacing w:after="0" w:line="240" w:lineRule="auto"/>
    </w:pPr>
  </w:style>
  <w:style w:type="paragraph" w:styleId="a9">
    <w:name w:val="footnote text"/>
    <w:basedOn w:val="a"/>
    <w:uiPriority w:val="99"/>
    <w:semiHidden/>
    <w:unhideWhenUsed/>
    <w:pPr>
      <w:snapToGrid w:val="0"/>
    </w:pPr>
    <w:rPr>
      <w:sz w:val="18"/>
    </w:rPr>
  </w:style>
  <w:style w:type="paragraph" w:styleId="aa">
    <w:name w:val="annotation subject"/>
    <w:basedOn w:val="a3"/>
    <w:next w:val="a3"/>
    <w:link w:val="ab"/>
    <w:uiPriority w:val="99"/>
    <w:semiHidden/>
    <w:unhideWhenUsed/>
    <w:rPr>
      <w:b/>
      <w:bCs/>
    </w:rPr>
  </w:style>
  <w:style w:type="character" w:styleId="ac">
    <w:name w:val="Hyperlink"/>
    <w:basedOn w:val="a0"/>
    <w:uiPriority w:val="99"/>
    <w:unhideWhenUsed/>
    <w:rPr>
      <w:color w:val="0563C1" w:themeColor="hyperlink"/>
      <w:u w:val="single"/>
    </w:rPr>
  </w:style>
  <w:style w:type="character" w:styleId="ad">
    <w:name w:val="annotation reference"/>
    <w:basedOn w:val="a0"/>
    <w:uiPriority w:val="99"/>
    <w:semiHidden/>
    <w:unhideWhenUsed/>
    <w:rPr>
      <w:sz w:val="16"/>
      <w:szCs w:val="16"/>
    </w:rPr>
  </w:style>
  <w:style w:type="character" w:styleId="ae">
    <w:name w:val="footnote reference"/>
    <w:basedOn w:val="a0"/>
    <w:uiPriority w:val="99"/>
    <w:semiHidden/>
    <w:unhideWhenUsed/>
    <w:rPr>
      <w:vertAlign w:val="superscript"/>
    </w:rPr>
  </w:style>
  <w:style w:type="character" w:customStyle="1" w:styleId="a8">
    <w:name w:val="页眉 字符"/>
    <w:basedOn w:val="a0"/>
    <w:link w:val="a7"/>
    <w:uiPriority w:val="99"/>
  </w:style>
  <w:style w:type="character" w:customStyle="1" w:styleId="a6">
    <w:name w:val="页脚 字符"/>
    <w:basedOn w:val="a0"/>
    <w:link w:val="a5"/>
    <w:uiPriority w:val="99"/>
  </w:style>
  <w:style w:type="paragraph" w:styleId="af">
    <w:name w:val="List Paragraph"/>
    <w:basedOn w:val="a"/>
    <w:uiPriority w:val="34"/>
    <w:qFormat/>
    <w:pPr>
      <w:ind w:left="720"/>
      <w:contextualSpacing/>
    </w:pPr>
  </w:style>
  <w:style w:type="character" w:customStyle="1" w:styleId="a4">
    <w:name w:val="批注文字 字符"/>
    <w:basedOn w:val="a0"/>
    <w:link w:val="a3"/>
    <w:uiPriority w:val="99"/>
    <w:semiHidden/>
    <w:rPr>
      <w:sz w:val="20"/>
      <w:szCs w:val="20"/>
    </w:rPr>
  </w:style>
  <w:style w:type="character" w:customStyle="1" w:styleId="ab">
    <w:name w:val="批注主题 字符"/>
    <w:basedOn w:val="a4"/>
    <w:link w:val="aa"/>
    <w:uiPriority w:val="99"/>
    <w:semiHidden/>
    <w:rPr>
      <w:b/>
      <w:bCs/>
      <w:sz w:val="20"/>
      <w:szCs w:val="20"/>
    </w:rPr>
  </w:style>
  <w:style w:type="character" w:customStyle="1" w:styleId="UnresolvedMention1">
    <w:name w:val="Unresolved Mention1"/>
    <w:basedOn w:val="a0"/>
    <w:uiPriority w:val="99"/>
    <w:semiHidden/>
    <w:unhideWhenUsed/>
    <w:rPr>
      <w:color w:val="605E5C"/>
      <w:shd w:val="clear" w:color="auto" w:fill="E1DFDD"/>
    </w:rPr>
  </w:style>
  <w:style w:type="character" w:styleId="af0">
    <w:name w:val="Unresolved Mention"/>
    <w:basedOn w:val="a0"/>
    <w:uiPriority w:val="99"/>
    <w:semiHidden/>
    <w:unhideWhenUsed/>
    <w:rsid w:val="00033D5C"/>
    <w:rPr>
      <w:color w:val="605E5C"/>
      <w:shd w:val="clear" w:color="auto" w:fill="E1DFDD"/>
    </w:rPr>
  </w:style>
  <w:style w:type="paragraph" w:styleId="af1">
    <w:name w:val="Revision"/>
    <w:hidden/>
    <w:uiPriority w:val="99"/>
    <w:semiHidden/>
    <w:rsid w:val="00146BBA"/>
    <w:pPr>
      <w:spacing w:after="0" w:line="240" w:lineRule="auto"/>
    </w:pPr>
    <w:rPr>
      <w:sz w:val="22"/>
      <w:szCs w:val="2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722">
      <w:bodyDiv w:val="1"/>
      <w:marLeft w:val="0"/>
      <w:marRight w:val="0"/>
      <w:marTop w:val="0"/>
      <w:marBottom w:val="0"/>
      <w:divBdr>
        <w:top w:val="none" w:sz="0" w:space="0" w:color="auto"/>
        <w:left w:val="none" w:sz="0" w:space="0" w:color="auto"/>
        <w:bottom w:val="none" w:sz="0" w:space="0" w:color="auto"/>
        <w:right w:val="none" w:sz="0" w:space="0" w:color="auto"/>
      </w:divBdr>
      <w:divsChild>
        <w:div w:id="181550308">
          <w:marLeft w:val="0"/>
          <w:marRight w:val="0"/>
          <w:marTop w:val="0"/>
          <w:marBottom w:val="0"/>
          <w:divBdr>
            <w:top w:val="none" w:sz="0" w:space="0" w:color="auto"/>
            <w:left w:val="none" w:sz="0" w:space="0" w:color="auto"/>
            <w:bottom w:val="none" w:sz="0" w:space="0" w:color="auto"/>
            <w:right w:val="none" w:sz="0" w:space="0" w:color="auto"/>
          </w:divBdr>
          <w:divsChild>
            <w:div w:id="1698238135">
              <w:marLeft w:val="0"/>
              <w:marRight w:val="0"/>
              <w:marTop w:val="0"/>
              <w:marBottom w:val="0"/>
              <w:divBdr>
                <w:top w:val="none" w:sz="0" w:space="0" w:color="auto"/>
                <w:left w:val="none" w:sz="0" w:space="0" w:color="auto"/>
                <w:bottom w:val="none" w:sz="0" w:space="0" w:color="auto"/>
                <w:right w:val="none" w:sz="0" w:space="0" w:color="auto"/>
              </w:divBdr>
              <w:divsChild>
                <w:div w:id="5950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1838">
      <w:bodyDiv w:val="1"/>
      <w:marLeft w:val="0"/>
      <w:marRight w:val="0"/>
      <w:marTop w:val="0"/>
      <w:marBottom w:val="0"/>
      <w:divBdr>
        <w:top w:val="none" w:sz="0" w:space="0" w:color="auto"/>
        <w:left w:val="none" w:sz="0" w:space="0" w:color="auto"/>
        <w:bottom w:val="none" w:sz="0" w:space="0" w:color="auto"/>
        <w:right w:val="none" w:sz="0" w:space="0" w:color="auto"/>
      </w:divBdr>
      <w:divsChild>
        <w:div w:id="1792936170">
          <w:marLeft w:val="0"/>
          <w:marRight w:val="0"/>
          <w:marTop w:val="0"/>
          <w:marBottom w:val="0"/>
          <w:divBdr>
            <w:top w:val="none" w:sz="0" w:space="0" w:color="auto"/>
            <w:left w:val="none" w:sz="0" w:space="0" w:color="auto"/>
            <w:bottom w:val="none" w:sz="0" w:space="0" w:color="auto"/>
            <w:right w:val="none" w:sz="0" w:space="0" w:color="auto"/>
          </w:divBdr>
          <w:divsChild>
            <w:div w:id="1977294793">
              <w:marLeft w:val="0"/>
              <w:marRight w:val="0"/>
              <w:marTop w:val="0"/>
              <w:marBottom w:val="0"/>
              <w:divBdr>
                <w:top w:val="none" w:sz="0" w:space="0" w:color="auto"/>
                <w:left w:val="none" w:sz="0" w:space="0" w:color="auto"/>
                <w:bottom w:val="none" w:sz="0" w:space="0" w:color="auto"/>
                <w:right w:val="none" w:sz="0" w:space="0" w:color="auto"/>
              </w:divBdr>
              <w:divsChild>
                <w:div w:id="82366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392">
      <w:bodyDiv w:val="1"/>
      <w:marLeft w:val="0"/>
      <w:marRight w:val="0"/>
      <w:marTop w:val="0"/>
      <w:marBottom w:val="0"/>
      <w:divBdr>
        <w:top w:val="none" w:sz="0" w:space="0" w:color="auto"/>
        <w:left w:val="none" w:sz="0" w:space="0" w:color="auto"/>
        <w:bottom w:val="none" w:sz="0" w:space="0" w:color="auto"/>
        <w:right w:val="none" w:sz="0" w:space="0" w:color="auto"/>
      </w:divBdr>
      <w:divsChild>
        <w:div w:id="1094789286">
          <w:marLeft w:val="0"/>
          <w:marRight w:val="0"/>
          <w:marTop w:val="0"/>
          <w:marBottom w:val="0"/>
          <w:divBdr>
            <w:top w:val="none" w:sz="0" w:space="0" w:color="auto"/>
            <w:left w:val="none" w:sz="0" w:space="0" w:color="auto"/>
            <w:bottom w:val="none" w:sz="0" w:space="0" w:color="auto"/>
            <w:right w:val="none" w:sz="0" w:space="0" w:color="auto"/>
          </w:divBdr>
          <w:divsChild>
            <w:div w:id="153374991">
              <w:marLeft w:val="0"/>
              <w:marRight w:val="0"/>
              <w:marTop w:val="0"/>
              <w:marBottom w:val="0"/>
              <w:divBdr>
                <w:top w:val="none" w:sz="0" w:space="0" w:color="auto"/>
                <w:left w:val="none" w:sz="0" w:space="0" w:color="auto"/>
                <w:bottom w:val="none" w:sz="0" w:space="0" w:color="auto"/>
                <w:right w:val="none" w:sz="0" w:space="0" w:color="auto"/>
              </w:divBdr>
              <w:divsChild>
                <w:div w:id="12458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7298">
      <w:bodyDiv w:val="1"/>
      <w:marLeft w:val="0"/>
      <w:marRight w:val="0"/>
      <w:marTop w:val="0"/>
      <w:marBottom w:val="0"/>
      <w:divBdr>
        <w:top w:val="none" w:sz="0" w:space="0" w:color="auto"/>
        <w:left w:val="none" w:sz="0" w:space="0" w:color="auto"/>
        <w:bottom w:val="none" w:sz="0" w:space="0" w:color="auto"/>
        <w:right w:val="none" w:sz="0" w:space="0" w:color="auto"/>
      </w:divBdr>
      <w:divsChild>
        <w:div w:id="1088694221">
          <w:marLeft w:val="0"/>
          <w:marRight w:val="0"/>
          <w:marTop w:val="0"/>
          <w:marBottom w:val="0"/>
          <w:divBdr>
            <w:top w:val="none" w:sz="0" w:space="0" w:color="auto"/>
            <w:left w:val="none" w:sz="0" w:space="0" w:color="auto"/>
            <w:bottom w:val="none" w:sz="0" w:space="0" w:color="auto"/>
            <w:right w:val="none" w:sz="0" w:space="0" w:color="auto"/>
          </w:divBdr>
          <w:divsChild>
            <w:div w:id="1618826327">
              <w:marLeft w:val="0"/>
              <w:marRight w:val="0"/>
              <w:marTop w:val="0"/>
              <w:marBottom w:val="0"/>
              <w:divBdr>
                <w:top w:val="none" w:sz="0" w:space="0" w:color="auto"/>
                <w:left w:val="none" w:sz="0" w:space="0" w:color="auto"/>
                <w:bottom w:val="none" w:sz="0" w:space="0" w:color="auto"/>
                <w:right w:val="none" w:sz="0" w:space="0" w:color="auto"/>
              </w:divBdr>
              <w:divsChild>
                <w:div w:id="14918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4129">
      <w:bodyDiv w:val="1"/>
      <w:marLeft w:val="0"/>
      <w:marRight w:val="0"/>
      <w:marTop w:val="0"/>
      <w:marBottom w:val="0"/>
      <w:divBdr>
        <w:top w:val="none" w:sz="0" w:space="0" w:color="auto"/>
        <w:left w:val="none" w:sz="0" w:space="0" w:color="auto"/>
        <w:bottom w:val="none" w:sz="0" w:space="0" w:color="auto"/>
        <w:right w:val="none" w:sz="0" w:space="0" w:color="auto"/>
      </w:divBdr>
      <w:divsChild>
        <w:div w:id="1430274123">
          <w:marLeft w:val="0"/>
          <w:marRight w:val="0"/>
          <w:marTop w:val="0"/>
          <w:marBottom w:val="0"/>
          <w:divBdr>
            <w:top w:val="none" w:sz="0" w:space="0" w:color="auto"/>
            <w:left w:val="none" w:sz="0" w:space="0" w:color="auto"/>
            <w:bottom w:val="none" w:sz="0" w:space="0" w:color="auto"/>
            <w:right w:val="none" w:sz="0" w:space="0" w:color="auto"/>
          </w:divBdr>
          <w:divsChild>
            <w:div w:id="916941120">
              <w:marLeft w:val="0"/>
              <w:marRight w:val="0"/>
              <w:marTop w:val="0"/>
              <w:marBottom w:val="0"/>
              <w:divBdr>
                <w:top w:val="none" w:sz="0" w:space="0" w:color="auto"/>
                <w:left w:val="none" w:sz="0" w:space="0" w:color="auto"/>
                <w:bottom w:val="none" w:sz="0" w:space="0" w:color="auto"/>
                <w:right w:val="none" w:sz="0" w:space="0" w:color="auto"/>
              </w:divBdr>
              <w:divsChild>
                <w:div w:id="745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0069">
      <w:bodyDiv w:val="1"/>
      <w:marLeft w:val="0"/>
      <w:marRight w:val="0"/>
      <w:marTop w:val="0"/>
      <w:marBottom w:val="0"/>
      <w:divBdr>
        <w:top w:val="none" w:sz="0" w:space="0" w:color="auto"/>
        <w:left w:val="none" w:sz="0" w:space="0" w:color="auto"/>
        <w:bottom w:val="none" w:sz="0" w:space="0" w:color="auto"/>
        <w:right w:val="none" w:sz="0" w:space="0" w:color="auto"/>
      </w:divBdr>
      <w:divsChild>
        <w:div w:id="409742316">
          <w:marLeft w:val="0"/>
          <w:marRight w:val="0"/>
          <w:marTop w:val="0"/>
          <w:marBottom w:val="0"/>
          <w:divBdr>
            <w:top w:val="none" w:sz="0" w:space="0" w:color="auto"/>
            <w:left w:val="none" w:sz="0" w:space="0" w:color="auto"/>
            <w:bottom w:val="none" w:sz="0" w:space="0" w:color="auto"/>
            <w:right w:val="none" w:sz="0" w:space="0" w:color="auto"/>
          </w:divBdr>
          <w:divsChild>
            <w:div w:id="1054161594">
              <w:marLeft w:val="0"/>
              <w:marRight w:val="0"/>
              <w:marTop w:val="0"/>
              <w:marBottom w:val="0"/>
              <w:divBdr>
                <w:top w:val="none" w:sz="0" w:space="0" w:color="auto"/>
                <w:left w:val="none" w:sz="0" w:space="0" w:color="auto"/>
                <w:bottom w:val="none" w:sz="0" w:space="0" w:color="auto"/>
                <w:right w:val="none" w:sz="0" w:space="0" w:color="auto"/>
              </w:divBdr>
              <w:divsChild>
                <w:div w:id="141265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7854">
      <w:bodyDiv w:val="1"/>
      <w:marLeft w:val="0"/>
      <w:marRight w:val="0"/>
      <w:marTop w:val="0"/>
      <w:marBottom w:val="0"/>
      <w:divBdr>
        <w:top w:val="none" w:sz="0" w:space="0" w:color="auto"/>
        <w:left w:val="none" w:sz="0" w:space="0" w:color="auto"/>
        <w:bottom w:val="none" w:sz="0" w:space="0" w:color="auto"/>
        <w:right w:val="none" w:sz="0" w:space="0" w:color="auto"/>
      </w:divBdr>
      <w:divsChild>
        <w:div w:id="1320573211">
          <w:marLeft w:val="0"/>
          <w:marRight w:val="0"/>
          <w:marTop w:val="0"/>
          <w:marBottom w:val="0"/>
          <w:divBdr>
            <w:top w:val="none" w:sz="0" w:space="0" w:color="auto"/>
            <w:left w:val="none" w:sz="0" w:space="0" w:color="auto"/>
            <w:bottom w:val="none" w:sz="0" w:space="0" w:color="auto"/>
            <w:right w:val="none" w:sz="0" w:space="0" w:color="auto"/>
          </w:divBdr>
          <w:divsChild>
            <w:div w:id="1239024832">
              <w:marLeft w:val="0"/>
              <w:marRight w:val="0"/>
              <w:marTop w:val="0"/>
              <w:marBottom w:val="0"/>
              <w:divBdr>
                <w:top w:val="none" w:sz="0" w:space="0" w:color="auto"/>
                <w:left w:val="none" w:sz="0" w:space="0" w:color="auto"/>
                <w:bottom w:val="none" w:sz="0" w:space="0" w:color="auto"/>
                <w:right w:val="none" w:sz="0" w:space="0" w:color="auto"/>
              </w:divBdr>
              <w:divsChild>
                <w:div w:id="109925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7930">
      <w:bodyDiv w:val="1"/>
      <w:marLeft w:val="0"/>
      <w:marRight w:val="0"/>
      <w:marTop w:val="0"/>
      <w:marBottom w:val="0"/>
      <w:divBdr>
        <w:top w:val="none" w:sz="0" w:space="0" w:color="auto"/>
        <w:left w:val="none" w:sz="0" w:space="0" w:color="auto"/>
        <w:bottom w:val="none" w:sz="0" w:space="0" w:color="auto"/>
        <w:right w:val="none" w:sz="0" w:space="0" w:color="auto"/>
      </w:divBdr>
      <w:divsChild>
        <w:div w:id="894775223">
          <w:marLeft w:val="0"/>
          <w:marRight w:val="0"/>
          <w:marTop w:val="0"/>
          <w:marBottom w:val="0"/>
          <w:divBdr>
            <w:top w:val="none" w:sz="0" w:space="0" w:color="auto"/>
            <w:left w:val="none" w:sz="0" w:space="0" w:color="auto"/>
            <w:bottom w:val="none" w:sz="0" w:space="0" w:color="auto"/>
            <w:right w:val="none" w:sz="0" w:space="0" w:color="auto"/>
          </w:divBdr>
          <w:divsChild>
            <w:div w:id="786435574">
              <w:marLeft w:val="0"/>
              <w:marRight w:val="0"/>
              <w:marTop w:val="0"/>
              <w:marBottom w:val="0"/>
              <w:divBdr>
                <w:top w:val="none" w:sz="0" w:space="0" w:color="auto"/>
                <w:left w:val="none" w:sz="0" w:space="0" w:color="auto"/>
                <w:bottom w:val="none" w:sz="0" w:space="0" w:color="auto"/>
                <w:right w:val="none" w:sz="0" w:space="0" w:color="auto"/>
              </w:divBdr>
              <w:divsChild>
                <w:div w:id="96169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33369">
      <w:bodyDiv w:val="1"/>
      <w:marLeft w:val="0"/>
      <w:marRight w:val="0"/>
      <w:marTop w:val="0"/>
      <w:marBottom w:val="0"/>
      <w:divBdr>
        <w:top w:val="none" w:sz="0" w:space="0" w:color="auto"/>
        <w:left w:val="none" w:sz="0" w:space="0" w:color="auto"/>
        <w:bottom w:val="none" w:sz="0" w:space="0" w:color="auto"/>
        <w:right w:val="none" w:sz="0" w:space="0" w:color="auto"/>
      </w:divBdr>
      <w:divsChild>
        <w:div w:id="1049189473">
          <w:marLeft w:val="0"/>
          <w:marRight w:val="0"/>
          <w:marTop w:val="0"/>
          <w:marBottom w:val="0"/>
          <w:divBdr>
            <w:top w:val="none" w:sz="0" w:space="0" w:color="auto"/>
            <w:left w:val="none" w:sz="0" w:space="0" w:color="auto"/>
            <w:bottom w:val="none" w:sz="0" w:space="0" w:color="auto"/>
            <w:right w:val="none" w:sz="0" w:space="0" w:color="auto"/>
          </w:divBdr>
          <w:divsChild>
            <w:div w:id="2109425407">
              <w:marLeft w:val="0"/>
              <w:marRight w:val="0"/>
              <w:marTop w:val="0"/>
              <w:marBottom w:val="0"/>
              <w:divBdr>
                <w:top w:val="none" w:sz="0" w:space="0" w:color="auto"/>
                <w:left w:val="none" w:sz="0" w:space="0" w:color="auto"/>
                <w:bottom w:val="none" w:sz="0" w:space="0" w:color="auto"/>
                <w:right w:val="none" w:sz="0" w:space="0" w:color="auto"/>
              </w:divBdr>
              <w:divsChild>
                <w:div w:id="11258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695856">
      <w:bodyDiv w:val="1"/>
      <w:marLeft w:val="0"/>
      <w:marRight w:val="0"/>
      <w:marTop w:val="0"/>
      <w:marBottom w:val="0"/>
      <w:divBdr>
        <w:top w:val="none" w:sz="0" w:space="0" w:color="auto"/>
        <w:left w:val="none" w:sz="0" w:space="0" w:color="auto"/>
        <w:bottom w:val="none" w:sz="0" w:space="0" w:color="auto"/>
        <w:right w:val="none" w:sz="0" w:space="0" w:color="auto"/>
      </w:divBdr>
      <w:divsChild>
        <w:div w:id="1326932249">
          <w:marLeft w:val="0"/>
          <w:marRight w:val="0"/>
          <w:marTop w:val="0"/>
          <w:marBottom w:val="0"/>
          <w:divBdr>
            <w:top w:val="none" w:sz="0" w:space="0" w:color="auto"/>
            <w:left w:val="none" w:sz="0" w:space="0" w:color="auto"/>
            <w:bottom w:val="none" w:sz="0" w:space="0" w:color="auto"/>
            <w:right w:val="none" w:sz="0" w:space="0" w:color="auto"/>
          </w:divBdr>
          <w:divsChild>
            <w:div w:id="1611235316">
              <w:marLeft w:val="0"/>
              <w:marRight w:val="0"/>
              <w:marTop w:val="0"/>
              <w:marBottom w:val="0"/>
              <w:divBdr>
                <w:top w:val="none" w:sz="0" w:space="0" w:color="auto"/>
                <w:left w:val="none" w:sz="0" w:space="0" w:color="auto"/>
                <w:bottom w:val="none" w:sz="0" w:space="0" w:color="auto"/>
                <w:right w:val="none" w:sz="0" w:space="0" w:color="auto"/>
              </w:divBdr>
              <w:divsChild>
                <w:div w:id="14752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454339">
      <w:bodyDiv w:val="1"/>
      <w:marLeft w:val="0"/>
      <w:marRight w:val="0"/>
      <w:marTop w:val="0"/>
      <w:marBottom w:val="0"/>
      <w:divBdr>
        <w:top w:val="none" w:sz="0" w:space="0" w:color="auto"/>
        <w:left w:val="none" w:sz="0" w:space="0" w:color="auto"/>
        <w:bottom w:val="none" w:sz="0" w:space="0" w:color="auto"/>
        <w:right w:val="none" w:sz="0" w:space="0" w:color="auto"/>
      </w:divBdr>
      <w:divsChild>
        <w:div w:id="1602835415">
          <w:marLeft w:val="0"/>
          <w:marRight w:val="0"/>
          <w:marTop w:val="0"/>
          <w:marBottom w:val="0"/>
          <w:divBdr>
            <w:top w:val="none" w:sz="0" w:space="0" w:color="auto"/>
            <w:left w:val="none" w:sz="0" w:space="0" w:color="auto"/>
            <w:bottom w:val="none" w:sz="0" w:space="0" w:color="auto"/>
            <w:right w:val="none" w:sz="0" w:space="0" w:color="auto"/>
          </w:divBdr>
          <w:divsChild>
            <w:div w:id="1876623703">
              <w:marLeft w:val="0"/>
              <w:marRight w:val="0"/>
              <w:marTop w:val="0"/>
              <w:marBottom w:val="0"/>
              <w:divBdr>
                <w:top w:val="none" w:sz="0" w:space="0" w:color="auto"/>
                <w:left w:val="none" w:sz="0" w:space="0" w:color="auto"/>
                <w:bottom w:val="none" w:sz="0" w:space="0" w:color="auto"/>
                <w:right w:val="none" w:sz="0" w:space="0" w:color="auto"/>
              </w:divBdr>
              <w:divsChild>
                <w:div w:id="20372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273618">
      <w:bodyDiv w:val="1"/>
      <w:marLeft w:val="0"/>
      <w:marRight w:val="0"/>
      <w:marTop w:val="0"/>
      <w:marBottom w:val="0"/>
      <w:divBdr>
        <w:top w:val="none" w:sz="0" w:space="0" w:color="auto"/>
        <w:left w:val="none" w:sz="0" w:space="0" w:color="auto"/>
        <w:bottom w:val="none" w:sz="0" w:space="0" w:color="auto"/>
        <w:right w:val="none" w:sz="0" w:space="0" w:color="auto"/>
      </w:divBdr>
      <w:divsChild>
        <w:div w:id="126628858">
          <w:marLeft w:val="0"/>
          <w:marRight w:val="0"/>
          <w:marTop w:val="0"/>
          <w:marBottom w:val="0"/>
          <w:divBdr>
            <w:top w:val="none" w:sz="0" w:space="0" w:color="auto"/>
            <w:left w:val="none" w:sz="0" w:space="0" w:color="auto"/>
            <w:bottom w:val="none" w:sz="0" w:space="0" w:color="auto"/>
            <w:right w:val="none" w:sz="0" w:space="0" w:color="auto"/>
          </w:divBdr>
          <w:divsChild>
            <w:div w:id="269167926">
              <w:marLeft w:val="0"/>
              <w:marRight w:val="0"/>
              <w:marTop w:val="0"/>
              <w:marBottom w:val="0"/>
              <w:divBdr>
                <w:top w:val="none" w:sz="0" w:space="0" w:color="auto"/>
                <w:left w:val="none" w:sz="0" w:space="0" w:color="auto"/>
                <w:bottom w:val="none" w:sz="0" w:space="0" w:color="auto"/>
                <w:right w:val="none" w:sz="0" w:space="0" w:color="auto"/>
              </w:divBdr>
              <w:divsChild>
                <w:div w:id="1153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055153">
      <w:bodyDiv w:val="1"/>
      <w:marLeft w:val="0"/>
      <w:marRight w:val="0"/>
      <w:marTop w:val="0"/>
      <w:marBottom w:val="0"/>
      <w:divBdr>
        <w:top w:val="none" w:sz="0" w:space="0" w:color="auto"/>
        <w:left w:val="none" w:sz="0" w:space="0" w:color="auto"/>
        <w:bottom w:val="none" w:sz="0" w:space="0" w:color="auto"/>
        <w:right w:val="none" w:sz="0" w:space="0" w:color="auto"/>
      </w:divBdr>
      <w:divsChild>
        <w:div w:id="368143071">
          <w:marLeft w:val="0"/>
          <w:marRight w:val="0"/>
          <w:marTop w:val="0"/>
          <w:marBottom w:val="0"/>
          <w:divBdr>
            <w:top w:val="none" w:sz="0" w:space="0" w:color="auto"/>
            <w:left w:val="none" w:sz="0" w:space="0" w:color="auto"/>
            <w:bottom w:val="none" w:sz="0" w:space="0" w:color="auto"/>
            <w:right w:val="none" w:sz="0" w:space="0" w:color="auto"/>
          </w:divBdr>
          <w:divsChild>
            <w:div w:id="2124183557">
              <w:marLeft w:val="0"/>
              <w:marRight w:val="0"/>
              <w:marTop w:val="0"/>
              <w:marBottom w:val="0"/>
              <w:divBdr>
                <w:top w:val="none" w:sz="0" w:space="0" w:color="auto"/>
                <w:left w:val="none" w:sz="0" w:space="0" w:color="auto"/>
                <w:bottom w:val="none" w:sz="0" w:space="0" w:color="auto"/>
                <w:right w:val="none" w:sz="0" w:space="0" w:color="auto"/>
              </w:divBdr>
              <w:divsChild>
                <w:div w:id="14558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16946">
      <w:bodyDiv w:val="1"/>
      <w:marLeft w:val="0"/>
      <w:marRight w:val="0"/>
      <w:marTop w:val="0"/>
      <w:marBottom w:val="0"/>
      <w:divBdr>
        <w:top w:val="none" w:sz="0" w:space="0" w:color="auto"/>
        <w:left w:val="none" w:sz="0" w:space="0" w:color="auto"/>
        <w:bottom w:val="none" w:sz="0" w:space="0" w:color="auto"/>
        <w:right w:val="none" w:sz="0" w:space="0" w:color="auto"/>
      </w:divBdr>
      <w:divsChild>
        <w:div w:id="2066219999">
          <w:marLeft w:val="0"/>
          <w:marRight w:val="0"/>
          <w:marTop w:val="0"/>
          <w:marBottom w:val="0"/>
          <w:divBdr>
            <w:top w:val="none" w:sz="0" w:space="0" w:color="auto"/>
            <w:left w:val="none" w:sz="0" w:space="0" w:color="auto"/>
            <w:bottom w:val="none" w:sz="0" w:space="0" w:color="auto"/>
            <w:right w:val="none" w:sz="0" w:space="0" w:color="auto"/>
          </w:divBdr>
          <w:divsChild>
            <w:div w:id="2120366884">
              <w:marLeft w:val="0"/>
              <w:marRight w:val="0"/>
              <w:marTop w:val="0"/>
              <w:marBottom w:val="0"/>
              <w:divBdr>
                <w:top w:val="none" w:sz="0" w:space="0" w:color="auto"/>
                <w:left w:val="none" w:sz="0" w:space="0" w:color="auto"/>
                <w:bottom w:val="none" w:sz="0" w:space="0" w:color="auto"/>
                <w:right w:val="none" w:sz="0" w:space="0" w:color="auto"/>
              </w:divBdr>
              <w:divsChild>
                <w:div w:id="6422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03882">
      <w:bodyDiv w:val="1"/>
      <w:marLeft w:val="0"/>
      <w:marRight w:val="0"/>
      <w:marTop w:val="0"/>
      <w:marBottom w:val="0"/>
      <w:divBdr>
        <w:top w:val="none" w:sz="0" w:space="0" w:color="auto"/>
        <w:left w:val="none" w:sz="0" w:space="0" w:color="auto"/>
        <w:bottom w:val="none" w:sz="0" w:space="0" w:color="auto"/>
        <w:right w:val="none" w:sz="0" w:space="0" w:color="auto"/>
      </w:divBdr>
      <w:divsChild>
        <w:div w:id="539173814">
          <w:marLeft w:val="0"/>
          <w:marRight w:val="0"/>
          <w:marTop w:val="0"/>
          <w:marBottom w:val="0"/>
          <w:divBdr>
            <w:top w:val="none" w:sz="0" w:space="0" w:color="auto"/>
            <w:left w:val="none" w:sz="0" w:space="0" w:color="auto"/>
            <w:bottom w:val="none" w:sz="0" w:space="0" w:color="auto"/>
            <w:right w:val="none" w:sz="0" w:space="0" w:color="auto"/>
          </w:divBdr>
          <w:divsChild>
            <w:div w:id="469133217">
              <w:marLeft w:val="0"/>
              <w:marRight w:val="0"/>
              <w:marTop w:val="0"/>
              <w:marBottom w:val="0"/>
              <w:divBdr>
                <w:top w:val="none" w:sz="0" w:space="0" w:color="auto"/>
                <w:left w:val="none" w:sz="0" w:space="0" w:color="auto"/>
                <w:bottom w:val="none" w:sz="0" w:space="0" w:color="auto"/>
                <w:right w:val="none" w:sz="0" w:space="0" w:color="auto"/>
              </w:divBdr>
              <w:divsChild>
                <w:div w:id="149567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85526">
      <w:bodyDiv w:val="1"/>
      <w:marLeft w:val="0"/>
      <w:marRight w:val="0"/>
      <w:marTop w:val="0"/>
      <w:marBottom w:val="0"/>
      <w:divBdr>
        <w:top w:val="none" w:sz="0" w:space="0" w:color="auto"/>
        <w:left w:val="none" w:sz="0" w:space="0" w:color="auto"/>
        <w:bottom w:val="none" w:sz="0" w:space="0" w:color="auto"/>
        <w:right w:val="none" w:sz="0" w:space="0" w:color="auto"/>
      </w:divBdr>
      <w:divsChild>
        <w:div w:id="1742753398">
          <w:marLeft w:val="0"/>
          <w:marRight w:val="0"/>
          <w:marTop w:val="0"/>
          <w:marBottom w:val="0"/>
          <w:divBdr>
            <w:top w:val="none" w:sz="0" w:space="0" w:color="auto"/>
            <w:left w:val="none" w:sz="0" w:space="0" w:color="auto"/>
            <w:bottom w:val="none" w:sz="0" w:space="0" w:color="auto"/>
            <w:right w:val="none" w:sz="0" w:space="0" w:color="auto"/>
          </w:divBdr>
          <w:divsChild>
            <w:div w:id="1889679520">
              <w:marLeft w:val="0"/>
              <w:marRight w:val="0"/>
              <w:marTop w:val="0"/>
              <w:marBottom w:val="0"/>
              <w:divBdr>
                <w:top w:val="none" w:sz="0" w:space="0" w:color="auto"/>
                <w:left w:val="none" w:sz="0" w:space="0" w:color="auto"/>
                <w:bottom w:val="none" w:sz="0" w:space="0" w:color="auto"/>
                <w:right w:val="none" w:sz="0" w:space="0" w:color="auto"/>
              </w:divBdr>
              <w:divsChild>
                <w:div w:id="19038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69021">
      <w:bodyDiv w:val="1"/>
      <w:marLeft w:val="0"/>
      <w:marRight w:val="0"/>
      <w:marTop w:val="0"/>
      <w:marBottom w:val="0"/>
      <w:divBdr>
        <w:top w:val="none" w:sz="0" w:space="0" w:color="auto"/>
        <w:left w:val="none" w:sz="0" w:space="0" w:color="auto"/>
        <w:bottom w:val="none" w:sz="0" w:space="0" w:color="auto"/>
        <w:right w:val="none" w:sz="0" w:space="0" w:color="auto"/>
      </w:divBdr>
      <w:divsChild>
        <w:div w:id="1543252155">
          <w:marLeft w:val="0"/>
          <w:marRight w:val="0"/>
          <w:marTop w:val="0"/>
          <w:marBottom w:val="0"/>
          <w:divBdr>
            <w:top w:val="none" w:sz="0" w:space="0" w:color="auto"/>
            <w:left w:val="none" w:sz="0" w:space="0" w:color="auto"/>
            <w:bottom w:val="none" w:sz="0" w:space="0" w:color="auto"/>
            <w:right w:val="none" w:sz="0" w:space="0" w:color="auto"/>
          </w:divBdr>
          <w:divsChild>
            <w:div w:id="360981429">
              <w:marLeft w:val="0"/>
              <w:marRight w:val="0"/>
              <w:marTop w:val="0"/>
              <w:marBottom w:val="0"/>
              <w:divBdr>
                <w:top w:val="none" w:sz="0" w:space="0" w:color="auto"/>
                <w:left w:val="none" w:sz="0" w:space="0" w:color="auto"/>
                <w:bottom w:val="none" w:sz="0" w:space="0" w:color="auto"/>
                <w:right w:val="none" w:sz="0" w:space="0" w:color="auto"/>
              </w:divBdr>
              <w:divsChild>
                <w:div w:id="16840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047821">
      <w:bodyDiv w:val="1"/>
      <w:marLeft w:val="0"/>
      <w:marRight w:val="0"/>
      <w:marTop w:val="0"/>
      <w:marBottom w:val="0"/>
      <w:divBdr>
        <w:top w:val="none" w:sz="0" w:space="0" w:color="auto"/>
        <w:left w:val="none" w:sz="0" w:space="0" w:color="auto"/>
        <w:bottom w:val="none" w:sz="0" w:space="0" w:color="auto"/>
        <w:right w:val="none" w:sz="0" w:space="0" w:color="auto"/>
      </w:divBdr>
      <w:divsChild>
        <w:div w:id="969477912">
          <w:marLeft w:val="0"/>
          <w:marRight w:val="0"/>
          <w:marTop w:val="0"/>
          <w:marBottom w:val="0"/>
          <w:divBdr>
            <w:top w:val="none" w:sz="0" w:space="0" w:color="auto"/>
            <w:left w:val="none" w:sz="0" w:space="0" w:color="auto"/>
            <w:bottom w:val="none" w:sz="0" w:space="0" w:color="auto"/>
            <w:right w:val="none" w:sz="0" w:space="0" w:color="auto"/>
          </w:divBdr>
          <w:divsChild>
            <w:div w:id="774711037">
              <w:marLeft w:val="0"/>
              <w:marRight w:val="0"/>
              <w:marTop w:val="0"/>
              <w:marBottom w:val="0"/>
              <w:divBdr>
                <w:top w:val="none" w:sz="0" w:space="0" w:color="auto"/>
                <w:left w:val="none" w:sz="0" w:space="0" w:color="auto"/>
                <w:bottom w:val="none" w:sz="0" w:space="0" w:color="auto"/>
                <w:right w:val="none" w:sz="0" w:space="0" w:color="auto"/>
              </w:divBdr>
              <w:divsChild>
                <w:div w:id="3735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328546">
      <w:bodyDiv w:val="1"/>
      <w:marLeft w:val="0"/>
      <w:marRight w:val="0"/>
      <w:marTop w:val="0"/>
      <w:marBottom w:val="0"/>
      <w:divBdr>
        <w:top w:val="none" w:sz="0" w:space="0" w:color="auto"/>
        <w:left w:val="none" w:sz="0" w:space="0" w:color="auto"/>
        <w:bottom w:val="none" w:sz="0" w:space="0" w:color="auto"/>
        <w:right w:val="none" w:sz="0" w:space="0" w:color="auto"/>
      </w:divBdr>
      <w:divsChild>
        <w:div w:id="109051975">
          <w:marLeft w:val="0"/>
          <w:marRight w:val="0"/>
          <w:marTop w:val="0"/>
          <w:marBottom w:val="0"/>
          <w:divBdr>
            <w:top w:val="none" w:sz="0" w:space="0" w:color="auto"/>
            <w:left w:val="none" w:sz="0" w:space="0" w:color="auto"/>
            <w:bottom w:val="none" w:sz="0" w:space="0" w:color="auto"/>
            <w:right w:val="none" w:sz="0" w:space="0" w:color="auto"/>
          </w:divBdr>
          <w:divsChild>
            <w:div w:id="1127744002">
              <w:marLeft w:val="0"/>
              <w:marRight w:val="0"/>
              <w:marTop w:val="0"/>
              <w:marBottom w:val="0"/>
              <w:divBdr>
                <w:top w:val="none" w:sz="0" w:space="0" w:color="auto"/>
                <w:left w:val="none" w:sz="0" w:space="0" w:color="auto"/>
                <w:bottom w:val="none" w:sz="0" w:space="0" w:color="auto"/>
                <w:right w:val="none" w:sz="0" w:space="0" w:color="auto"/>
              </w:divBdr>
              <w:divsChild>
                <w:div w:id="99622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95818">
      <w:bodyDiv w:val="1"/>
      <w:marLeft w:val="0"/>
      <w:marRight w:val="0"/>
      <w:marTop w:val="0"/>
      <w:marBottom w:val="0"/>
      <w:divBdr>
        <w:top w:val="none" w:sz="0" w:space="0" w:color="auto"/>
        <w:left w:val="none" w:sz="0" w:space="0" w:color="auto"/>
        <w:bottom w:val="none" w:sz="0" w:space="0" w:color="auto"/>
        <w:right w:val="none" w:sz="0" w:space="0" w:color="auto"/>
      </w:divBdr>
      <w:divsChild>
        <w:div w:id="229000271">
          <w:marLeft w:val="0"/>
          <w:marRight w:val="0"/>
          <w:marTop w:val="0"/>
          <w:marBottom w:val="0"/>
          <w:divBdr>
            <w:top w:val="none" w:sz="0" w:space="0" w:color="auto"/>
            <w:left w:val="none" w:sz="0" w:space="0" w:color="auto"/>
            <w:bottom w:val="none" w:sz="0" w:space="0" w:color="auto"/>
            <w:right w:val="none" w:sz="0" w:space="0" w:color="auto"/>
          </w:divBdr>
          <w:divsChild>
            <w:div w:id="1355031425">
              <w:marLeft w:val="0"/>
              <w:marRight w:val="0"/>
              <w:marTop w:val="0"/>
              <w:marBottom w:val="0"/>
              <w:divBdr>
                <w:top w:val="none" w:sz="0" w:space="0" w:color="auto"/>
                <w:left w:val="none" w:sz="0" w:space="0" w:color="auto"/>
                <w:bottom w:val="none" w:sz="0" w:space="0" w:color="auto"/>
                <w:right w:val="none" w:sz="0" w:space="0" w:color="auto"/>
              </w:divBdr>
              <w:divsChild>
                <w:div w:id="12034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16290">
      <w:bodyDiv w:val="1"/>
      <w:marLeft w:val="0"/>
      <w:marRight w:val="0"/>
      <w:marTop w:val="0"/>
      <w:marBottom w:val="0"/>
      <w:divBdr>
        <w:top w:val="none" w:sz="0" w:space="0" w:color="auto"/>
        <w:left w:val="none" w:sz="0" w:space="0" w:color="auto"/>
        <w:bottom w:val="none" w:sz="0" w:space="0" w:color="auto"/>
        <w:right w:val="none" w:sz="0" w:space="0" w:color="auto"/>
      </w:divBdr>
      <w:divsChild>
        <w:div w:id="2060782977">
          <w:marLeft w:val="0"/>
          <w:marRight w:val="0"/>
          <w:marTop w:val="0"/>
          <w:marBottom w:val="0"/>
          <w:divBdr>
            <w:top w:val="none" w:sz="0" w:space="0" w:color="auto"/>
            <w:left w:val="none" w:sz="0" w:space="0" w:color="auto"/>
            <w:bottom w:val="none" w:sz="0" w:space="0" w:color="auto"/>
            <w:right w:val="none" w:sz="0" w:space="0" w:color="auto"/>
          </w:divBdr>
          <w:divsChild>
            <w:div w:id="1371147308">
              <w:marLeft w:val="0"/>
              <w:marRight w:val="0"/>
              <w:marTop w:val="0"/>
              <w:marBottom w:val="0"/>
              <w:divBdr>
                <w:top w:val="none" w:sz="0" w:space="0" w:color="auto"/>
                <w:left w:val="none" w:sz="0" w:space="0" w:color="auto"/>
                <w:bottom w:val="none" w:sz="0" w:space="0" w:color="auto"/>
                <w:right w:val="none" w:sz="0" w:space="0" w:color="auto"/>
              </w:divBdr>
              <w:divsChild>
                <w:div w:id="97283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44759">
      <w:bodyDiv w:val="1"/>
      <w:marLeft w:val="0"/>
      <w:marRight w:val="0"/>
      <w:marTop w:val="0"/>
      <w:marBottom w:val="0"/>
      <w:divBdr>
        <w:top w:val="none" w:sz="0" w:space="0" w:color="auto"/>
        <w:left w:val="none" w:sz="0" w:space="0" w:color="auto"/>
        <w:bottom w:val="none" w:sz="0" w:space="0" w:color="auto"/>
        <w:right w:val="none" w:sz="0" w:space="0" w:color="auto"/>
      </w:divBdr>
      <w:divsChild>
        <w:div w:id="1556969558">
          <w:marLeft w:val="0"/>
          <w:marRight w:val="0"/>
          <w:marTop w:val="0"/>
          <w:marBottom w:val="0"/>
          <w:divBdr>
            <w:top w:val="none" w:sz="0" w:space="0" w:color="auto"/>
            <w:left w:val="none" w:sz="0" w:space="0" w:color="auto"/>
            <w:bottom w:val="none" w:sz="0" w:space="0" w:color="auto"/>
            <w:right w:val="none" w:sz="0" w:space="0" w:color="auto"/>
          </w:divBdr>
          <w:divsChild>
            <w:div w:id="1740010003">
              <w:marLeft w:val="0"/>
              <w:marRight w:val="0"/>
              <w:marTop w:val="0"/>
              <w:marBottom w:val="0"/>
              <w:divBdr>
                <w:top w:val="none" w:sz="0" w:space="0" w:color="auto"/>
                <w:left w:val="none" w:sz="0" w:space="0" w:color="auto"/>
                <w:bottom w:val="none" w:sz="0" w:space="0" w:color="auto"/>
                <w:right w:val="none" w:sz="0" w:space="0" w:color="auto"/>
              </w:divBdr>
              <w:divsChild>
                <w:div w:id="119750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21178">
      <w:bodyDiv w:val="1"/>
      <w:marLeft w:val="0"/>
      <w:marRight w:val="0"/>
      <w:marTop w:val="0"/>
      <w:marBottom w:val="0"/>
      <w:divBdr>
        <w:top w:val="none" w:sz="0" w:space="0" w:color="auto"/>
        <w:left w:val="none" w:sz="0" w:space="0" w:color="auto"/>
        <w:bottom w:val="none" w:sz="0" w:space="0" w:color="auto"/>
        <w:right w:val="none" w:sz="0" w:space="0" w:color="auto"/>
      </w:divBdr>
      <w:divsChild>
        <w:div w:id="1758863229">
          <w:marLeft w:val="0"/>
          <w:marRight w:val="0"/>
          <w:marTop w:val="0"/>
          <w:marBottom w:val="0"/>
          <w:divBdr>
            <w:top w:val="none" w:sz="0" w:space="0" w:color="auto"/>
            <w:left w:val="none" w:sz="0" w:space="0" w:color="auto"/>
            <w:bottom w:val="none" w:sz="0" w:space="0" w:color="auto"/>
            <w:right w:val="none" w:sz="0" w:space="0" w:color="auto"/>
          </w:divBdr>
          <w:divsChild>
            <w:div w:id="407457643">
              <w:marLeft w:val="0"/>
              <w:marRight w:val="0"/>
              <w:marTop w:val="0"/>
              <w:marBottom w:val="0"/>
              <w:divBdr>
                <w:top w:val="none" w:sz="0" w:space="0" w:color="auto"/>
                <w:left w:val="none" w:sz="0" w:space="0" w:color="auto"/>
                <w:bottom w:val="none" w:sz="0" w:space="0" w:color="auto"/>
                <w:right w:val="none" w:sz="0" w:space="0" w:color="auto"/>
              </w:divBdr>
              <w:divsChild>
                <w:div w:id="153040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79722">
      <w:bodyDiv w:val="1"/>
      <w:marLeft w:val="0"/>
      <w:marRight w:val="0"/>
      <w:marTop w:val="0"/>
      <w:marBottom w:val="0"/>
      <w:divBdr>
        <w:top w:val="none" w:sz="0" w:space="0" w:color="auto"/>
        <w:left w:val="none" w:sz="0" w:space="0" w:color="auto"/>
        <w:bottom w:val="none" w:sz="0" w:space="0" w:color="auto"/>
        <w:right w:val="none" w:sz="0" w:space="0" w:color="auto"/>
      </w:divBdr>
      <w:divsChild>
        <w:div w:id="1336298175">
          <w:marLeft w:val="0"/>
          <w:marRight w:val="0"/>
          <w:marTop w:val="0"/>
          <w:marBottom w:val="0"/>
          <w:divBdr>
            <w:top w:val="none" w:sz="0" w:space="0" w:color="auto"/>
            <w:left w:val="none" w:sz="0" w:space="0" w:color="auto"/>
            <w:bottom w:val="none" w:sz="0" w:space="0" w:color="auto"/>
            <w:right w:val="none" w:sz="0" w:space="0" w:color="auto"/>
          </w:divBdr>
          <w:divsChild>
            <w:div w:id="186143705">
              <w:marLeft w:val="0"/>
              <w:marRight w:val="0"/>
              <w:marTop w:val="0"/>
              <w:marBottom w:val="0"/>
              <w:divBdr>
                <w:top w:val="none" w:sz="0" w:space="0" w:color="auto"/>
                <w:left w:val="none" w:sz="0" w:space="0" w:color="auto"/>
                <w:bottom w:val="none" w:sz="0" w:space="0" w:color="auto"/>
                <w:right w:val="none" w:sz="0" w:space="0" w:color="auto"/>
              </w:divBdr>
              <w:divsChild>
                <w:div w:id="3217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5200">
      <w:bodyDiv w:val="1"/>
      <w:marLeft w:val="0"/>
      <w:marRight w:val="0"/>
      <w:marTop w:val="0"/>
      <w:marBottom w:val="0"/>
      <w:divBdr>
        <w:top w:val="none" w:sz="0" w:space="0" w:color="auto"/>
        <w:left w:val="none" w:sz="0" w:space="0" w:color="auto"/>
        <w:bottom w:val="none" w:sz="0" w:space="0" w:color="auto"/>
        <w:right w:val="none" w:sz="0" w:space="0" w:color="auto"/>
      </w:divBdr>
      <w:divsChild>
        <w:div w:id="1111975367">
          <w:marLeft w:val="0"/>
          <w:marRight w:val="0"/>
          <w:marTop w:val="0"/>
          <w:marBottom w:val="0"/>
          <w:divBdr>
            <w:top w:val="none" w:sz="0" w:space="0" w:color="auto"/>
            <w:left w:val="none" w:sz="0" w:space="0" w:color="auto"/>
            <w:bottom w:val="none" w:sz="0" w:space="0" w:color="auto"/>
            <w:right w:val="none" w:sz="0" w:space="0" w:color="auto"/>
          </w:divBdr>
          <w:divsChild>
            <w:div w:id="268201573">
              <w:marLeft w:val="0"/>
              <w:marRight w:val="0"/>
              <w:marTop w:val="0"/>
              <w:marBottom w:val="0"/>
              <w:divBdr>
                <w:top w:val="none" w:sz="0" w:space="0" w:color="auto"/>
                <w:left w:val="none" w:sz="0" w:space="0" w:color="auto"/>
                <w:bottom w:val="none" w:sz="0" w:space="0" w:color="auto"/>
                <w:right w:val="none" w:sz="0" w:space="0" w:color="auto"/>
              </w:divBdr>
              <w:divsChild>
                <w:div w:id="52468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831352">
      <w:bodyDiv w:val="1"/>
      <w:marLeft w:val="0"/>
      <w:marRight w:val="0"/>
      <w:marTop w:val="0"/>
      <w:marBottom w:val="0"/>
      <w:divBdr>
        <w:top w:val="none" w:sz="0" w:space="0" w:color="auto"/>
        <w:left w:val="none" w:sz="0" w:space="0" w:color="auto"/>
        <w:bottom w:val="none" w:sz="0" w:space="0" w:color="auto"/>
        <w:right w:val="none" w:sz="0" w:space="0" w:color="auto"/>
      </w:divBdr>
      <w:divsChild>
        <w:div w:id="1110474725">
          <w:marLeft w:val="0"/>
          <w:marRight w:val="0"/>
          <w:marTop w:val="0"/>
          <w:marBottom w:val="0"/>
          <w:divBdr>
            <w:top w:val="none" w:sz="0" w:space="0" w:color="auto"/>
            <w:left w:val="none" w:sz="0" w:space="0" w:color="auto"/>
            <w:bottom w:val="none" w:sz="0" w:space="0" w:color="auto"/>
            <w:right w:val="none" w:sz="0" w:space="0" w:color="auto"/>
          </w:divBdr>
          <w:divsChild>
            <w:div w:id="1182206151">
              <w:marLeft w:val="0"/>
              <w:marRight w:val="0"/>
              <w:marTop w:val="0"/>
              <w:marBottom w:val="0"/>
              <w:divBdr>
                <w:top w:val="none" w:sz="0" w:space="0" w:color="auto"/>
                <w:left w:val="none" w:sz="0" w:space="0" w:color="auto"/>
                <w:bottom w:val="none" w:sz="0" w:space="0" w:color="auto"/>
                <w:right w:val="none" w:sz="0" w:space="0" w:color="auto"/>
              </w:divBdr>
              <w:divsChild>
                <w:div w:id="15274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79450">
      <w:bodyDiv w:val="1"/>
      <w:marLeft w:val="0"/>
      <w:marRight w:val="0"/>
      <w:marTop w:val="0"/>
      <w:marBottom w:val="0"/>
      <w:divBdr>
        <w:top w:val="none" w:sz="0" w:space="0" w:color="auto"/>
        <w:left w:val="none" w:sz="0" w:space="0" w:color="auto"/>
        <w:bottom w:val="none" w:sz="0" w:space="0" w:color="auto"/>
        <w:right w:val="none" w:sz="0" w:space="0" w:color="auto"/>
      </w:divBdr>
      <w:divsChild>
        <w:div w:id="162094004">
          <w:marLeft w:val="0"/>
          <w:marRight w:val="0"/>
          <w:marTop w:val="0"/>
          <w:marBottom w:val="0"/>
          <w:divBdr>
            <w:top w:val="none" w:sz="0" w:space="0" w:color="auto"/>
            <w:left w:val="none" w:sz="0" w:space="0" w:color="auto"/>
            <w:bottom w:val="none" w:sz="0" w:space="0" w:color="auto"/>
            <w:right w:val="none" w:sz="0" w:space="0" w:color="auto"/>
          </w:divBdr>
          <w:divsChild>
            <w:div w:id="1009916356">
              <w:marLeft w:val="0"/>
              <w:marRight w:val="0"/>
              <w:marTop w:val="0"/>
              <w:marBottom w:val="0"/>
              <w:divBdr>
                <w:top w:val="none" w:sz="0" w:space="0" w:color="auto"/>
                <w:left w:val="none" w:sz="0" w:space="0" w:color="auto"/>
                <w:bottom w:val="none" w:sz="0" w:space="0" w:color="auto"/>
                <w:right w:val="none" w:sz="0" w:space="0" w:color="auto"/>
              </w:divBdr>
              <w:divsChild>
                <w:div w:id="11509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716820">
      <w:bodyDiv w:val="1"/>
      <w:marLeft w:val="0"/>
      <w:marRight w:val="0"/>
      <w:marTop w:val="0"/>
      <w:marBottom w:val="0"/>
      <w:divBdr>
        <w:top w:val="none" w:sz="0" w:space="0" w:color="auto"/>
        <w:left w:val="none" w:sz="0" w:space="0" w:color="auto"/>
        <w:bottom w:val="none" w:sz="0" w:space="0" w:color="auto"/>
        <w:right w:val="none" w:sz="0" w:space="0" w:color="auto"/>
      </w:divBdr>
      <w:divsChild>
        <w:div w:id="1920017071">
          <w:marLeft w:val="0"/>
          <w:marRight w:val="0"/>
          <w:marTop w:val="0"/>
          <w:marBottom w:val="0"/>
          <w:divBdr>
            <w:top w:val="none" w:sz="0" w:space="0" w:color="auto"/>
            <w:left w:val="none" w:sz="0" w:space="0" w:color="auto"/>
            <w:bottom w:val="none" w:sz="0" w:space="0" w:color="auto"/>
            <w:right w:val="none" w:sz="0" w:space="0" w:color="auto"/>
          </w:divBdr>
          <w:divsChild>
            <w:div w:id="2002198837">
              <w:marLeft w:val="0"/>
              <w:marRight w:val="0"/>
              <w:marTop w:val="0"/>
              <w:marBottom w:val="0"/>
              <w:divBdr>
                <w:top w:val="none" w:sz="0" w:space="0" w:color="auto"/>
                <w:left w:val="none" w:sz="0" w:space="0" w:color="auto"/>
                <w:bottom w:val="none" w:sz="0" w:space="0" w:color="auto"/>
                <w:right w:val="none" w:sz="0" w:space="0" w:color="auto"/>
              </w:divBdr>
              <w:divsChild>
                <w:div w:id="5998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80156">
      <w:bodyDiv w:val="1"/>
      <w:marLeft w:val="0"/>
      <w:marRight w:val="0"/>
      <w:marTop w:val="0"/>
      <w:marBottom w:val="0"/>
      <w:divBdr>
        <w:top w:val="none" w:sz="0" w:space="0" w:color="auto"/>
        <w:left w:val="none" w:sz="0" w:space="0" w:color="auto"/>
        <w:bottom w:val="none" w:sz="0" w:space="0" w:color="auto"/>
        <w:right w:val="none" w:sz="0" w:space="0" w:color="auto"/>
      </w:divBdr>
      <w:divsChild>
        <w:div w:id="625550553">
          <w:marLeft w:val="0"/>
          <w:marRight w:val="0"/>
          <w:marTop w:val="0"/>
          <w:marBottom w:val="0"/>
          <w:divBdr>
            <w:top w:val="none" w:sz="0" w:space="0" w:color="auto"/>
            <w:left w:val="none" w:sz="0" w:space="0" w:color="auto"/>
            <w:bottom w:val="none" w:sz="0" w:space="0" w:color="auto"/>
            <w:right w:val="none" w:sz="0" w:space="0" w:color="auto"/>
          </w:divBdr>
          <w:divsChild>
            <w:div w:id="1701542358">
              <w:marLeft w:val="0"/>
              <w:marRight w:val="0"/>
              <w:marTop w:val="0"/>
              <w:marBottom w:val="0"/>
              <w:divBdr>
                <w:top w:val="none" w:sz="0" w:space="0" w:color="auto"/>
                <w:left w:val="none" w:sz="0" w:space="0" w:color="auto"/>
                <w:bottom w:val="none" w:sz="0" w:space="0" w:color="auto"/>
                <w:right w:val="none" w:sz="0" w:space="0" w:color="auto"/>
              </w:divBdr>
              <w:divsChild>
                <w:div w:id="1687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843548">
      <w:bodyDiv w:val="1"/>
      <w:marLeft w:val="0"/>
      <w:marRight w:val="0"/>
      <w:marTop w:val="0"/>
      <w:marBottom w:val="0"/>
      <w:divBdr>
        <w:top w:val="none" w:sz="0" w:space="0" w:color="auto"/>
        <w:left w:val="none" w:sz="0" w:space="0" w:color="auto"/>
        <w:bottom w:val="none" w:sz="0" w:space="0" w:color="auto"/>
        <w:right w:val="none" w:sz="0" w:space="0" w:color="auto"/>
      </w:divBdr>
      <w:divsChild>
        <w:div w:id="541675833">
          <w:marLeft w:val="0"/>
          <w:marRight w:val="0"/>
          <w:marTop w:val="0"/>
          <w:marBottom w:val="0"/>
          <w:divBdr>
            <w:top w:val="none" w:sz="0" w:space="0" w:color="auto"/>
            <w:left w:val="none" w:sz="0" w:space="0" w:color="auto"/>
            <w:bottom w:val="none" w:sz="0" w:space="0" w:color="auto"/>
            <w:right w:val="none" w:sz="0" w:space="0" w:color="auto"/>
          </w:divBdr>
          <w:divsChild>
            <w:div w:id="647175538">
              <w:marLeft w:val="0"/>
              <w:marRight w:val="0"/>
              <w:marTop w:val="0"/>
              <w:marBottom w:val="0"/>
              <w:divBdr>
                <w:top w:val="none" w:sz="0" w:space="0" w:color="auto"/>
                <w:left w:val="none" w:sz="0" w:space="0" w:color="auto"/>
                <w:bottom w:val="none" w:sz="0" w:space="0" w:color="auto"/>
                <w:right w:val="none" w:sz="0" w:space="0" w:color="auto"/>
              </w:divBdr>
              <w:divsChild>
                <w:div w:id="39343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316">
      <w:bodyDiv w:val="1"/>
      <w:marLeft w:val="0"/>
      <w:marRight w:val="0"/>
      <w:marTop w:val="0"/>
      <w:marBottom w:val="0"/>
      <w:divBdr>
        <w:top w:val="none" w:sz="0" w:space="0" w:color="auto"/>
        <w:left w:val="none" w:sz="0" w:space="0" w:color="auto"/>
        <w:bottom w:val="none" w:sz="0" w:space="0" w:color="auto"/>
        <w:right w:val="none" w:sz="0" w:space="0" w:color="auto"/>
      </w:divBdr>
      <w:divsChild>
        <w:div w:id="702024736">
          <w:marLeft w:val="0"/>
          <w:marRight w:val="0"/>
          <w:marTop w:val="0"/>
          <w:marBottom w:val="0"/>
          <w:divBdr>
            <w:top w:val="none" w:sz="0" w:space="0" w:color="auto"/>
            <w:left w:val="none" w:sz="0" w:space="0" w:color="auto"/>
            <w:bottom w:val="none" w:sz="0" w:space="0" w:color="auto"/>
            <w:right w:val="none" w:sz="0" w:space="0" w:color="auto"/>
          </w:divBdr>
          <w:divsChild>
            <w:div w:id="31922415">
              <w:marLeft w:val="0"/>
              <w:marRight w:val="0"/>
              <w:marTop w:val="0"/>
              <w:marBottom w:val="0"/>
              <w:divBdr>
                <w:top w:val="none" w:sz="0" w:space="0" w:color="auto"/>
                <w:left w:val="none" w:sz="0" w:space="0" w:color="auto"/>
                <w:bottom w:val="none" w:sz="0" w:space="0" w:color="auto"/>
                <w:right w:val="none" w:sz="0" w:space="0" w:color="auto"/>
              </w:divBdr>
              <w:divsChild>
                <w:div w:id="23115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41946">
      <w:bodyDiv w:val="1"/>
      <w:marLeft w:val="0"/>
      <w:marRight w:val="0"/>
      <w:marTop w:val="0"/>
      <w:marBottom w:val="0"/>
      <w:divBdr>
        <w:top w:val="none" w:sz="0" w:space="0" w:color="auto"/>
        <w:left w:val="none" w:sz="0" w:space="0" w:color="auto"/>
        <w:bottom w:val="none" w:sz="0" w:space="0" w:color="auto"/>
        <w:right w:val="none" w:sz="0" w:space="0" w:color="auto"/>
      </w:divBdr>
      <w:divsChild>
        <w:div w:id="302002087">
          <w:marLeft w:val="0"/>
          <w:marRight w:val="0"/>
          <w:marTop w:val="0"/>
          <w:marBottom w:val="0"/>
          <w:divBdr>
            <w:top w:val="none" w:sz="0" w:space="0" w:color="auto"/>
            <w:left w:val="none" w:sz="0" w:space="0" w:color="auto"/>
            <w:bottom w:val="none" w:sz="0" w:space="0" w:color="auto"/>
            <w:right w:val="none" w:sz="0" w:space="0" w:color="auto"/>
          </w:divBdr>
          <w:divsChild>
            <w:div w:id="856583626">
              <w:marLeft w:val="0"/>
              <w:marRight w:val="0"/>
              <w:marTop w:val="0"/>
              <w:marBottom w:val="0"/>
              <w:divBdr>
                <w:top w:val="none" w:sz="0" w:space="0" w:color="auto"/>
                <w:left w:val="none" w:sz="0" w:space="0" w:color="auto"/>
                <w:bottom w:val="none" w:sz="0" w:space="0" w:color="auto"/>
                <w:right w:val="none" w:sz="0" w:space="0" w:color="auto"/>
              </w:divBdr>
              <w:divsChild>
                <w:div w:id="15449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23830">
      <w:bodyDiv w:val="1"/>
      <w:marLeft w:val="0"/>
      <w:marRight w:val="0"/>
      <w:marTop w:val="0"/>
      <w:marBottom w:val="0"/>
      <w:divBdr>
        <w:top w:val="none" w:sz="0" w:space="0" w:color="auto"/>
        <w:left w:val="none" w:sz="0" w:space="0" w:color="auto"/>
        <w:bottom w:val="none" w:sz="0" w:space="0" w:color="auto"/>
        <w:right w:val="none" w:sz="0" w:space="0" w:color="auto"/>
      </w:divBdr>
      <w:divsChild>
        <w:div w:id="16204555">
          <w:marLeft w:val="0"/>
          <w:marRight w:val="0"/>
          <w:marTop w:val="0"/>
          <w:marBottom w:val="0"/>
          <w:divBdr>
            <w:top w:val="none" w:sz="0" w:space="0" w:color="auto"/>
            <w:left w:val="none" w:sz="0" w:space="0" w:color="auto"/>
            <w:bottom w:val="none" w:sz="0" w:space="0" w:color="auto"/>
            <w:right w:val="none" w:sz="0" w:space="0" w:color="auto"/>
          </w:divBdr>
          <w:divsChild>
            <w:div w:id="1857423491">
              <w:marLeft w:val="0"/>
              <w:marRight w:val="0"/>
              <w:marTop w:val="0"/>
              <w:marBottom w:val="0"/>
              <w:divBdr>
                <w:top w:val="none" w:sz="0" w:space="0" w:color="auto"/>
                <w:left w:val="none" w:sz="0" w:space="0" w:color="auto"/>
                <w:bottom w:val="none" w:sz="0" w:space="0" w:color="auto"/>
                <w:right w:val="none" w:sz="0" w:space="0" w:color="auto"/>
              </w:divBdr>
              <w:divsChild>
                <w:div w:id="106556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70789">
      <w:bodyDiv w:val="1"/>
      <w:marLeft w:val="0"/>
      <w:marRight w:val="0"/>
      <w:marTop w:val="0"/>
      <w:marBottom w:val="0"/>
      <w:divBdr>
        <w:top w:val="none" w:sz="0" w:space="0" w:color="auto"/>
        <w:left w:val="none" w:sz="0" w:space="0" w:color="auto"/>
        <w:bottom w:val="none" w:sz="0" w:space="0" w:color="auto"/>
        <w:right w:val="none" w:sz="0" w:space="0" w:color="auto"/>
      </w:divBdr>
      <w:divsChild>
        <w:div w:id="1409838359">
          <w:marLeft w:val="0"/>
          <w:marRight w:val="0"/>
          <w:marTop w:val="0"/>
          <w:marBottom w:val="0"/>
          <w:divBdr>
            <w:top w:val="none" w:sz="0" w:space="0" w:color="auto"/>
            <w:left w:val="none" w:sz="0" w:space="0" w:color="auto"/>
            <w:bottom w:val="none" w:sz="0" w:space="0" w:color="auto"/>
            <w:right w:val="none" w:sz="0" w:space="0" w:color="auto"/>
          </w:divBdr>
          <w:divsChild>
            <w:div w:id="1242568854">
              <w:marLeft w:val="0"/>
              <w:marRight w:val="0"/>
              <w:marTop w:val="0"/>
              <w:marBottom w:val="0"/>
              <w:divBdr>
                <w:top w:val="none" w:sz="0" w:space="0" w:color="auto"/>
                <w:left w:val="none" w:sz="0" w:space="0" w:color="auto"/>
                <w:bottom w:val="none" w:sz="0" w:space="0" w:color="auto"/>
                <w:right w:val="none" w:sz="0" w:space="0" w:color="auto"/>
              </w:divBdr>
              <w:divsChild>
                <w:div w:id="12330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899731">
      <w:bodyDiv w:val="1"/>
      <w:marLeft w:val="0"/>
      <w:marRight w:val="0"/>
      <w:marTop w:val="0"/>
      <w:marBottom w:val="0"/>
      <w:divBdr>
        <w:top w:val="none" w:sz="0" w:space="0" w:color="auto"/>
        <w:left w:val="none" w:sz="0" w:space="0" w:color="auto"/>
        <w:bottom w:val="none" w:sz="0" w:space="0" w:color="auto"/>
        <w:right w:val="none" w:sz="0" w:space="0" w:color="auto"/>
      </w:divBdr>
      <w:divsChild>
        <w:div w:id="701593146">
          <w:marLeft w:val="0"/>
          <w:marRight w:val="0"/>
          <w:marTop w:val="0"/>
          <w:marBottom w:val="0"/>
          <w:divBdr>
            <w:top w:val="none" w:sz="0" w:space="0" w:color="auto"/>
            <w:left w:val="none" w:sz="0" w:space="0" w:color="auto"/>
            <w:bottom w:val="none" w:sz="0" w:space="0" w:color="auto"/>
            <w:right w:val="none" w:sz="0" w:space="0" w:color="auto"/>
          </w:divBdr>
          <w:divsChild>
            <w:div w:id="548955985">
              <w:marLeft w:val="0"/>
              <w:marRight w:val="0"/>
              <w:marTop w:val="0"/>
              <w:marBottom w:val="0"/>
              <w:divBdr>
                <w:top w:val="none" w:sz="0" w:space="0" w:color="auto"/>
                <w:left w:val="none" w:sz="0" w:space="0" w:color="auto"/>
                <w:bottom w:val="none" w:sz="0" w:space="0" w:color="auto"/>
                <w:right w:val="none" w:sz="0" w:space="0" w:color="auto"/>
              </w:divBdr>
              <w:divsChild>
                <w:div w:id="48667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377556">
      <w:bodyDiv w:val="1"/>
      <w:marLeft w:val="0"/>
      <w:marRight w:val="0"/>
      <w:marTop w:val="0"/>
      <w:marBottom w:val="0"/>
      <w:divBdr>
        <w:top w:val="none" w:sz="0" w:space="0" w:color="auto"/>
        <w:left w:val="none" w:sz="0" w:space="0" w:color="auto"/>
        <w:bottom w:val="none" w:sz="0" w:space="0" w:color="auto"/>
        <w:right w:val="none" w:sz="0" w:space="0" w:color="auto"/>
      </w:divBdr>
      <w:divsChild>
        <w:div w:id="1398548934">
          <w:marLeft w:val="0"/>
          <w:marRight w:val="0"/>
          <w:marTop w:val="0"/>
          <w:marBottom w:val="0"/>
          <w:divBdr>
            <w:top w:val="none" w:sz="0" w:space="0" w:color="auto"/>
            <w:left w:val="none" w:sz="0" w:space="0" w:color="auto"/>
            <w:bottom w:val="none" w:sz="0" w:space="0" w:color="auto"/>
            <w:right w:val="none" w:sz="0" w:space="0" w:color="auto"/>
          </w:divBdr>
          <w:divsChild>
            <w:div w:id="17974756">
              <w:marLeft w:val="0"/>
              <w:marRight w:val="0"/>
              <w:marTop w:val="0"/>
              <w:marBottom w:val="0"/>
              <w:divBdr>
                <w:top w:val="none" w:sz="0" w:space="0" w:color="auto"/>
                <w:left w:val="none" w:sz="0" w:space="0" w:color="auto"/>
                <w:bottom w:val="none" w:sz="0" w:space="0" w:color="auto"/>
                <w:right w:val="none" w:sz="0" w:space="0" w:color="auto"/>
              </w:divBdr>
              <w:divsChild>
                <w:div w:id="3502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933647">
      <w:bodyDiv w:val="1"/>
      <w:marLeft w:val="0"/>
      <w:marRight w:val="0"/>
      <w:marTop w:val="0"/>
      <w:marBottom w:val="0"/>
      <w:divBdr>
        <w:top w:val="none" w:sz="0" w:space="0" w:color="auto"/>
        <w:left w:val="none" w:sz="0" w:space="0" w:color="auto"/>
        <w:bottom w:val="none" w:sz="0" w:space="0" w:color="auto"/>
        <w:right w:val="none" w:sz="0" w:space="0" w:color="auto"/>
      </w:divBdr>
      <w:divsChild>
        <w:div w:id="499585223">
          <w:marLeft w:val="0"/>
          <w:marRight w:val="0"/>
          <w:marTop w:val="0"/>
          <w:marBottom w:val="0"/>
          <w:divBdr>
            <w:top w:val="none" w:sz="0" w:space="0" w:color="auto"/>
            <w:left w:val="none" w:sz="0" w:space="0" w:color="auto"/>
            <w:bottom w:val="none" w:sz="0" w:space="0" w:color="auto"/>
            <w:right w:val="none" w:sz="0" w:space="0" w:color="auto"/>
          </w:divBdr>
          <w:divsChild>
            <w:div w:id="816726585">
              <w:marLeft w:val="0"/>
              <w:marRight w:val="0"/>
              <w:marTop w:val="0"/>
              <w:marBottom w:val="0"/>
              <w:divBdr>
                <w:top w:val="none" w:sz="0" w:space="0" w:color="auto"/>
                <w:left w:val="none" w:sz="0" w:space="0" w:color="auto"/>
                <w:bottom w:val="none" w:sz="0" w:space="0" w:color="auto"/>
                <w:right w:val="none" w:sz="0" w:space="0" w:color="auto"/>
              </w:divBdr>
              <w:divsChild>
                <w:div w:id="83796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54208">
      <w:bodyDiv w:val="1"/>
      <w:marLeft w:val="0"/>
      <w:marRight w:val="0"/>
      <w:marTop w:val="0"/>
      <w:marBottom w:val="0"/>
      <w:divBdr>
        <w:top w:val="none" w:sz="0" w:space="0" w:color="auto"/>
        <w:left w:val="none" w:sz="0" w:space="0" w:color="auto"/>
        <w:bottom w:val="none" w:sz="0" w:space="0" w:color="auto"/>
        <w:right w:val="none" w:sz="0" w:space="0" w:color="auto"/>
      </w:divBdr>
      <w:divsChild>
        <w:div w:id="529681238">
          <w:marLeft w:val="0"/>
          <w:marRight w:val="0"/>
          <w:marTop w:val="0"/>
          <w:marBottom w:val="0"/>
          <w:divBdr>
            <w:top w:val="none" w:sz="0" w:space="0" w:color="auto"/>
            <w:left w:val="none" w:sz="0" w:space="0" w:color="auto"/>
            <w:bottom w:val="none" w:sz="0" w:space="0" w:color="auto"/>
            <w:right w:val="none" w:sz="0" w:space="0" w:color="auto"/>
          </w:divBdr>
          <w:divsChild>
            <w:div w:id="2091417543">
              <w:marLeft w:val="0"/>
              <w:marRight w:val="0"/>
              <w:marTop w:val="0"/>
              <w:marBottom w:val="0"/>
              <w:divBdr>
                <w:top w:val="none" w:sz="0" w:space="0" w:color="auto"/>
                <w:left w:val="none" w:sz="0" w:space="0" w:color="auto"/>
                <w:bottom w:val="none" w:sz="0" w:space="0" w:color="auto"/>
                <w:right w:val="none" w:sz="0" w:space="0" w:color="auto"/>
              </w:divBdr>
              <w:divsChild>
                <w:div w:id="78473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229869">
      <w:bodyDiv w:val="1"/>
      <w:marLeft w:val="0"/>
      <w:marRight w:val="0"/>
      <w:marTop w:val="0"/>
      <w:marBottom w:val="0"/>
      <w:divBdr>
        <w:top w:val="none" w:sz="0" w:space="0" w:color="auto"/>
        <w:left w:val="none" w:sz="0" w:space="0" w:color="auto"/>
        <w:bottom w:val="none" w:sz="0" w:space="0" w:color="auto"/>
        <w:right w:val="none" w:sz="0" w:space="0" w:color="auto"/>
      </w:divBdr>
      <w:divsChild>
        <w:div w:id="1569262267">
          <w:marLeft w:val="0"/>
          <w:marRight w:val="0"/>
          <w:marTop w:val="0"/>
          <w:marBottom w:val="0"/>
          <w:divBdr>
            <w:top w:val="none" w:sz="0" w:space="0" w:color="auto"/>
            <w:left w:val="none" w:sz="0" w:space="0" w:color="auto"/>
            <w:bottom w:val="none" w:sz="0" w:space="0" w:color="auto"/>
            <w:right w:val="none" w:sz="0" w:space="0" w:color="auto"/>
          </w:divBdr>
          <w:divsChild>
            <w:div w:id="1576208724">
              <w:marLeft w:val="0"/>
              <w:marRight w:val="0"/>
              <w:marTop w:val="0"/>
              <w:marBottom w:val="0"/>
              <w:divBdr>
                <w:top w:val="none" w:sz="0" w:space="0" w:color="auto"/>
                <w:left w:val="none" w:sz="0" w:space="0" w:color="auto"/>
                <w:bottom w:val="none" w:sz="0" w:space="0" w:color="auto"/>
                <w:right w:val="none" w:sz="0" w:space="0" w:color="auto"/>
              </w:divBdr>
              <w:divsChild>
                <w:div w:id="7010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2641">
      <w:bodyDiv w:val="1"/>
      <w:marLeft w:val="0"/>
      <w:marRight w:val="0"/>
      <w:marTop w:val="0"/>
      <w:marBottom w:val="0"/>
      <w:divBdr>
        <w:top w:val="none" w:sz="0" w:space="0" w:color="auto"/>
        <w:left w:val="none" w:sz="0" w:space="0" w:color="auto"/>
        <w:bottom w:val="none" w:sz="0" w:space="0" w:color="auto"/>
        <w:right w:val="none" w:sz="0" w:space="0" w:color="auto"/>
      </w:divBdr>
      <w:divsChild>
        <w:div w:id="1805847787">
          <w:marLeft w:val="0"/>
          <w:marRight w:val="0"/>
          <w:marTop w:val="0"/>
          <w:marBottom w:val="0"/>
          <w:divBdr>
            <w:top w:val="none" w:sz="0" w:space="0" w:color="auto"/>
            <w:left w:val="none" w:sz="0" w:space="0" w:color="auto"/>
            <w:bottom w:val="none" w:sz="0" w:space="0" w:color="auto"/>
            <w:right w:val="none" w:sz="0" w:space="0" w:color="auto"/>
          </w:divBdr>
          <w:divsChild>
            <w:div w:id="29380870">
              <w:marLeft w:val="0"/>
              <w:marRight w:val="0"/>
              <w:marTop w:val="0"/>
              <w:marBottom w:val="0"/>
              <w:divBdr>
                <w:top w:val="none" w:sz="0" w:space="0" w:color="auto"/>
                <w:left w:val="none" w:sz="0" w:space="0" w:color="auto"/>
                <w:bottom w:val="none" w:sz="0" w:space="0" w:color="auto"/>
                <w:right w:val="none" w:sz="0" w:space="0" w:color="auto"/>
              </w:divBdr>
              <w:divsChild>
                <w:div w:id="15981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00658">
      <w:bodyDiv w:val="1"/>
      <w:marLeft w:val="0"/>
      <w:marRight w:val="0"/>
      <w:marTop w:val="0"/>
      <w:marBottom w:val="0"/>
      <w:divBdr>
        <w:top w:val="none" w:sz="0" w:space="0" w:color="auto"/>
        <w:left w:val="none" w:sz="0" w:space="0" w:color="auto"/>
        <w:bottom w:val="none" w:sz="0" w:space="0" w:color="auto"/>
        <w:right w:val="none" w:sz="0" w:space="0" w:color="auto"/>
      </w:divBdr>
      <w:divsChild>
        <w:div w:id="701247406">
          <w:marLeft w:val="0"/>
          <w:marRight w:val="0"/>
          <w:marTop w:val="0"/>
          <w:marBottom w:val="0"/>
          <w:divBdr>
            <w:top w:val="none" w:sz="0" w:space="0" w:color="auto"/>
            <w:left w:val="none" w:sz="0" w:space="0" w:color="auto"/>
            <w:bottom w:val="none" w:sz="0" w:space="0" w:color="auto"/>
            <w:right w:val="none" w:sz="0" w:space="0" w:color="auto"/>
          </w:divBdr>
          <w:divsChild>
            <w:div w:id="1921065550">
              <w:marLeft w:val="0"/>
              <w:marRight w:val="0"/>
              <w:marTop w:val="0"/>
              <w:marBottom w:val="0"/>
              <w:divBdr>
                <w:top w:val="none" w:sz="0" w:space="0" w:color="auto"/>
                <w:left w:val="none" w:sz="0" w:space="0" w:color="auto"/>
                <w:bottom w:val="none" w:sz="0" w:space="0" w:color="auto"/>
                <w:right w:val="none" w:sz="0" w:space="0" w:color="auto"/>
              </w:divBdr>
              <w:divsChild>
                <w:div w:id="9421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82624">
      <w:bodyDiv w:val="1"/>
      <w:marLeft w:val="0"/>
      <w:marRight w:val="0"/>
      <w:marTop w:val="0"/>
      <w:marBottom w:val="0"/>
      <w:divBdr>
        <w:top w:val="none" w:sz="0" w:space="0" w:color="auto"/>
        <w:left w:val="none" w:sz="0" w:space="0" w:color="auto"/>
        <w:bottom w:val="none" w:sz="0" w:space="0" w:color="auto"/>
        <w:right w:val="none" w:sz="0" w:space="0" w:color="auto"/>
      </w:divBdr>
      <w:divsChild>
        <w:div w:id="87654354">
          <w:marLeft w:val="0"/>
          <w:marRight w:val="0"/>
          <w:marTop w:val="0"/>
          <w:marBottom w:val="0"/>
          <w:divBdr>
            <w:top w:val="none" w:sz="0" w:space="0" w:color="auto"/>
            <w:left w:val="none" w:sz="0" w:space="0" w:color="auto"/>
            <w:bottom w:val="none" w:sz="0" w:space="0" w:color="auto"/>
            <w:right w:val="none" w:sz="0" w:space="0" w:color="auto"/>
          </w:divBdr>
          <w:divsChild>
            <w:div w:id="1215309263">
              <w:marLeft w:val="0"/>
              <w:marRight w:val="0"/>
              <w:marTop w:val="0"/>
              <w:marBottom w:val="0"/>
              <w:divBdr>
                <w:top w:val="none" w:sz="0" w:space="0" w:color="auto"/>
                <w:left w:val="none" w:sz="0" w:space="0" w:color="auto"/>
                <w:bottom w:val="none" w:sz="0" w:space="0" w:color="auto"/>
                <w:right w:val="none" w:sz="0" w:space="0" w:color="auto"/>
              </w:divBdr>
              <w:divsChild>
                <w:div w:id="18877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11478">
      <w:bodyDiv w:val="1"/>
      <w:marLeft w:val="0"/>
      <w:marRight w:val="0"/>
      <w:marTop w:val="0"/>
      <w:marBottom w:val="0"/>
      <w:divBdr>
        <w:top w:val="none" w:sz="0" w:space="0" w:color="auto"/>
        <w:left w:val="none" w:sz="0" w:space="0" w:color="auto"/>
        <w:bottom w:val="none" w:sz="0" w:space="0" w:color="auto"/>
        <w:right w:val="none" w:sz="0" w:space="0" w:color="auto"/>
      </w:divBdr>
      <w:divsChild>
        <w:div w:id="1040547647">
          <w:marLeft w:val="0"/>
          <w:marRight w:val="0"/>
          <w:marTop w:val="0"/>
          <w:marBottom w:val="0"/>
          <w:divBdr>
            <w:top w:val="none" w:sz="0" w:space="0" w:color="auto"/>
            <w:left w:val="none" w:sz="0" w:space="0" w:color="auto"/>
            <w:bottom w:val="none" w:sz="0" w:space="0" w:color="auto"/>
            <w:right w:val="none" w:sz="0" w:space="0" w:color="auto"/>
          </w:divBdr>
          <w:divsChild>
            <w:div w:id="1644700152">
              <w:marLeft w:val="0"/>
              <w:marRight w:val="0"/>
              <w:marTop w:val="0"/>
              <w:marBottom w:val="0"/>
              <w:divBdr>
                <w:top w:val="none" w:sz="0" w:space="0" w:color="auto"/>
                <w:left w:val="none" w:sz="0" w:space="0" w:color="auto"/>
                <w:bottom w:val="none" w:sz="0" w:space="0" w:color="auto"/>
                <w:right w:val="none" w:sz="0" w:space="0" w:color="auto"/>
              </w:divBdr>
              <w:divsChild>
                <w:div w:id="11790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98936">
      <w:bodyDiv w:val="1"/>
      <w:marLeft w:val="0"/>
      <w:marRight w:val="0"/>
      <w:marTop w:val="0"/>
      <w:marBottom w:val="0"/>
      <w:divBdr>
        <w:top w:val="none" w:sz="0" w:space="0" w:color="auto"/>
        <w:left w:val="none" w:sz="0" w:space="0" w:color="auto"/>
        <w:bottom w:val="none" w:sz="0" w:space="0" w:color="auto"/>
        <w:right w:val="none" w:sz="0" w:space="0" w:color="auto"/>
      </w:divBdr>
      <w:divsChild>
        <w:div w:id="977034895">
          <w:marLeft w:val="0"/>
          <w:marRight w:val="0"/>
          <w:marTop w:val="0"/>
          <w:marBottom w:val="0"/>
          <w:divBdr>
            <w:top w:val="none" w:sz="0" w:space="0" w:color="auto"/>
            <w:left w:val="none" w:sz="0" w:space="0" w:color="auto"/>
            <w:bottom w:val="none" w:sz="0" w:space="0" w:color="auto"/>
            <w:right w:val="none" w:sz="0" w:space="0" w:color="auto"/>
          </w:divBdr>
          <w:divsChild>
            <w:div w:id="696197691">
              <w:marLeft w:val="0"/>
              <w:marRight w:val="0"/>
              <w:marTop w:val="0"/>
              <w:marBottom w:val="0"/>
              <w:divBdr>
                <w:top w:val="none" w:sz="0" w:space="0" w:color="auto"/>
                <w:left w:val="none" w:sz="0" w:space="0" w:color="auto"/>
                <w:bottom w:val="none" w:sz="0" w:space="0" w:color="auto"/>
                <w:right w:val="none" w:sz="0" w:space="0" w:color="auto"/>
              </w:divBdr>
              <w:divsChild>
                <w:div w:id="175794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04837">
      <w:bodyDiv w:val="1"/>
      <w:marLeft w:val="0"/>
      <w:marRight w:val="0"/>
      <w:marTop w:val="0"/>
      <w:marBottom w:val="0"/>
      <w:divBdr>
        <w:top w:val="none" w:sz="0" w:space="0" w:color="auto"/>
        <w:left w:val="none" w:sz="0" w:space="0" w:color="auto"/>
        <w:bottom w:val="none" w:sz="0" w:space="0" w:color="auto"/>
        <w:right w:val="none" w:sz="0" w:space="0" w:color="auto"/>
      </w:divBdr>
      <w:divsChild>
        <w:div w:id="1756390986">
          <w:marLeft w:val="0"/>
          <w:marRight w:val="0"/>
          <w:marTop w:val="0"/>
          <w:marBottom w:val="0"/>
          <w:divBdr>
            <w:top w:val="none" w:sz="0" w:space="0" w:color="auto"/>
            <w:left w:val="none" w:sz="0" w:space="0" w:color="auto"/>
            <w:bottom w:val="none" w:sz="0" w:space="0" w:color="auto"/>
            <w:right w:val="none" w:sz="0" w:space="0" w:color="auto"/>
          </w:divBdr>
          <w:divsChild>
            <w:div w:id="55666931">
              <w:marLeft w:val="0"/>
              <w:marRight w:val="0"/>
              <w:marTop w:val="0"/>
              <w:marBottom w:val="0"/>
              <w:divBdr>
                <w:top w:val="none" w:sz="0" w:space="0" w:color="auto"/>
                <w:left w:val="none" w:sz="0" w:space="0" w:color="auto"/>
                <w:bottom w:val="none" w:sz="0" w:space="0" w:color="auto"/>
                <w:right w:val="none" w:sz="0" w:space="0" w:color="auto"/>
              </w:divBdr>
              <w:divsChild>
                <w:div w:id="78862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78184">
      <w:bodyDiv w:val="1"/>
      <w:marLeft w:val="0"/>
      <w:marRight w:val="0"/>
      <w:marTop w:val="0"/>
      <w:marBottom w:val="0"/>
      <w:divBdr>
        <w:top w:val="none" w:sz="0" w:space="0" w:color="auto"/>
        <w:left w:val="none" w:sz="0" w:space="0" w:color="auto"/>
        <w:bottom w:val="none" w:sz="0" w:space="0" w:color="auto"/>
        <w:right w:val="none" w:sz="0" w:space="0" w:color="auto"/>
      </w:divBdr>
      <w:divsChild>
        <w:div w:id="2003463184">
          <w:marLeft w:val="0"/>
          <w:marRight w:val="0"/>
          <w:marTop w:val="0"/>
          <w:marBottom w:val="0"/>
          <w:divBdr>
            <w:top w:val="none" w:sz="0" w:space="0" w:color="auto"/>
            <w:left w:val="none" w:sz="0" w:space="0" w:color="auto"/>
            <w:bottom w:val="none" w:sz="0" w:space="0" w:color="auto"/>
            <w:right w:val="none" w:sz="0" w:space="0" w:color="auto"/>
          </w:divBdr>
          <w:divsChild>
            <w:div w:id="1293056882">
              <w:marLeft w:val="0"/>
              <w:marRight w:val="0"/>
              <w:marTop w:val="0"/>
              <w:marBottom w:val="0"/>
              <w:divBdr>
                <w:top w:val="none" w:sz="0" w:space="0" w:color="auto"/>
                <w:left w:val="none" w:sz="0" w:space="0" w:color="auto"/>
                <w:bottom w:val="none" w:sz="0" w:space="0" w:color="auto"/>
                <w:right w:val="none" w:sz="0" w:space="0" w:color="auto"/>
              </w:divBdr>
              <w:divsChild>
                <w:div w:id="9370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767332">
      <w:bodyDiv w:val="1"/>
      <w:marLeft w:val="0"/>
      <w:marRight w:val="0"/>
      <w:marTop w:val="0"/>
      <w:marBottom w:val="0"/>
      <w:divBdr>
        <w:top w:val="none" w:sz="0" w:space="0" w:color="auto"/>
        <w:left w:val="none" w:sz="0" w:space="0" w:color="auto"/>
        <w:bottom w:val="none" w:sz="0" w:space="0" w:color="auto"/>
        <w:right w:val="none" w:sz="0" w:space="0" w:color="auto"/>
      </w:divBdr>
      <w:divsChild>
        <w:div w:id="401562832">
          <w:marLeft w:val="0"/>
          <w:marRight w:val="0"/>
          <w:marTop w:val="0"/>
          <w:marBottom w:val="0"/>
          <w:divBdr>
            <w:top w:val="none" w:sz="0" w:space="0" w:color="auto"/>
            <w:left w:val="none" w:sz="0" w:space="0" w:color="auto"/>
            <w:bottom w:val="none" w:sz="0" w:space="0" w:color="auto"/>
            <w:right w:val="none" w:sz="0" w:space="0" w:color="auto"/>
          </w:divBdr>
          <w:divsChild>
            <w:div w:id="1131821851">
              <w:marLeft w:val="0"/>
              <w:marRight w:val="0"/>
              <w:marTop w:val="0"/>
              <w:marBottom w:val="0"/>
              <w:divBdr>
                <w:top w:val="none" w:sz="0" w:space="0" w:color="auto"/>
                <w:left w:val="none" w:sz="0" w:space="0" w:color="auto"/>
                <w:bottom w:val="none" w:sz="0" w:space="0" w:color="auto"/>
                <w:right w:val="none" w:sz="0" w:space="0" w:color="auto"/>
              </w:divBdr>
              <w:divsChild>
                <w:div w:id="7034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72457">
      <w:bodyDiv w:val="1"/>
      <w:marLeft w:val="0"/>
      <w:marRight w:val="0"/>
      <w:marTop w:val="0"/>
      <w:marBottom w:val="0"/>
      <w:divBdr>
        <w:top w:val="none" w:sz="0" w:space="0" w:color="auto"/>
        <w:left w:val="none" w:sz="0" w:space="0" w:color="auto"/>
        <w:bottom w:val="none" w:sz="0" w:space="0" w:color="auto"/>
        <w:right w:val="none" w:sz="0" w:space="0" w:color="auto"/>
      </w:divBdr>
      <w:divsChild>
        <w:div w:id="469327997">
          <w:marLeft w:val="0"/>
          <w:marRight w:val="0"/>
          <w:marTop w:val="0"/>
          <w:marBottom w:val="0"/>
          <w:divBdr>
            <w:top w:val="none" w:sz="0" w:space="0" w:color="auto"/>
            <w:left w:val="none" w:sz="0" w:space="0" w:color="auto"/>
            <w:bottom w:val="none" w:sz="0" w:space="0" w:color="auto"/>
            <w:right w:val="none" w:sz="0" w:space="0" w:color="auto"/>
          </w:divBdr>
          <w:divsChild>
            <w:div w:id="930235464">
              <w:marLeft w:val="0"/>
              <w:marRight w:val="0"/>
              <w:marTop w:val="0"/>
              <w:marBottom w:val="0"/>
              <w:divBdr>
                <w:top w:val="none" w:sz="0" w:space="0" w:color="auto"/>
                <w:left w:val="none" w:sz="0" w:space="0" w:color="auto"/>
                <w:bottom w:val="none" w:sz="0" w:space="0" w:color="auto"/>
                <w:right w:val="none" w:sz="0" w:space="0" w:color="auto"/>
              </w:divBdr>
              <w:divsChild>
                <w:div w:id="167133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359717">
      <w:bodyDiv w:val="1"/>
      <w:marLeft w:val="0"/>
      <w:marRight w:val="0"/>
      <w:marTop w:val="0"/>
      <w:marBottom w:val="0"/>
      <w:divBdr>
        <w:top w:val="none" w:sz="0" w:space="0" w:color="auto"/>
        <w:left w:val="none" w:sz="0" w:space="0" w:color="auto"/>
        <w:bottom w:val="none" w:sz="0" w:space="0" w:color="auto"/>
        <w:right w:val="none" w:sz="0" w:space="0" w:color="auto"/>
      </w:divBdr>
      <w:divsChild>
        <w:div w:id="1340161634">
          <w:marLeft w:val="0"/>
          <w:marRight w:val="0"/>
          <w:marTop w:val="0"/>
          <w:marBottom w:val="0"/>
          <w:divBdr>
            <w:top w:val="none" w:sz="0" w:space="0" w:color="auto"/>
            <w:left w:val="none" w:sz="0" w:space="0" w:color="auto"/>
            <w:bottom w:val="none" w:sz="0" w:space="0" w:color="auto"/>
            <w:right w:val="none" w:sz="0" w:space="0" w:color="auto"/>
          </w:divBdr>
          <w:divsChild>
            <w:div w:id="594943133">
              <w:marLeft w:val="0"/>
              <w:marRight w:val="0"/>
              <w:marTop w:val="0"/>
              <w:marBottom w:val="0"/>
              <w:divBdr>
                <w:top w:val="none" w:sz="0" w:space="0" w:color="auto"/>
                <w:left w:val="none" w:sz="0" w:space="0" w:color="auto"/>
                <w:bottom w:val="none" w:sz="0" w:space="0" w:color="auto"/>
                <w:right w:val="none" w:sz="0" w:space="0" w:color="auto"/>
              </w:divBdr>
              <w:divsChild>
                <w:div w:id="64254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89722">
      <w:bodyDiv w:val="1"/>
      <w:marLeft w:val="0"/>
      <w:marRight w:val="0"/>
      <w:marTop w:val="0"/>
      <w:marBottom w:val="0"/>
      <w:divBdr>
        <w:top w:val="none" w:sz="0" w:space="0" w:color="auto"/>
        <w:left w:val="none" w:sz="0" w:space="0" w:color="auto"/>
        <w:bottom w:val="none" w:sz="0" w:space="0" w:color="auto"/>
        <w:right w:val="none" w:sz="0" w:space="0" w:color="auto"/>
      </w:divBdr>
      <w:divsChild>
        <w:div w:id="767391707">
          <w:marLeft w:val="0"/>
          <w:marRight w:val="0"/>
          <w:marTop w:val="0"/>
          <w:marBottom w:val="0"/>
          <w:divBdr>
            <w:top w:val="none" w:sz="0" w:space="0" w:color="auto"/>
            <w:left w:val="none" w:sz="0" w:space="0" w:color="auto"/>
            <w:bottom w:val="none" w:sz="0" w:space="0" w:color="auto"/>
            <w:right w:val="none" w:sz="0" w:space="0" w:color="auto"/>
          </w:divBdr>
          <w:divsChild>
            <w:div w:id="2124104873">
              <w:marLeft w:val="0"/>
              <w:marRight w:val="0"/>
              <w:marTop w:val="0"/>
              <w:marBottom w:val="0"/>
              <w:divBdr>
                <w:top w:val="none" w:sz="0" w:space="0" w:color="auto"/>
                <w:left w:val="none" w:sz="0" w:space="0" w:color="auto"/>
                <w:bottom w:val="none" w:sz="0" w:space="0" w:color="auto"/>
                <w:right w:val="none" w:sz="0" w:space="0" w:color="auto"/>
              </w:divBdr>
              <w:divsChild>
                <w:div w:id="18135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858146">
      <w:bodyDiv w:val="1"/>
      <w:marLeft w:val="0"/>
      <w:marRight w:val="0"/>
      <w:marTop w:val="0"/>
      <w:marBottom w:val="0"/>
      <w:divBdr>
        <w:top w:val="none" w:sz="0" w:space="0" w:color="auto"/>
        <w:left w:val="none" w:sz="0" w:space="0" w:color="auto"/>
        <w:bottom w:val="none" w:sz="0" w:space="0" w:color="auto"/>
        <w:right w:val="none" w:sz="0" w:space="0" w:color="auto"/>
      </w:divBdr>
      <w:divsChild>
        <w:div w:id="275143481">
          <w:marLeft w:val="0"/>
          <w:marRight w:val="0"/>
          <w:marTop w:val="0"/>
          <w:marBottom w:val="0"/>
          <w:divBdr>
            <w:top w:val="none" w:sz="0" w:space="0" w:color="auto"/>
            <w:left w:val="none" w:sz="0" w:space="0" w:color="auto"/>
            <w:bottom w:val="none" w:sz="0" w:space="0" w:color="auto"/>
            <w:right w:val="none" w:sz="0" w:space="0" w:color="auto"/>
          </w:divBdr>
          <w:divsChild>
            <w:div w:id="132912467">
              <w:marLeft w:val="0"/>
              <w:marRight w:val="0"/>
              <w:marTop w:val="0"/>
              <w:marBottom w:val="0"/>
              <w:divBdr>
                <w:top w:val="none" w:sz="0" w:space="0" w:color="auto"/>
                <w:left w:val="none" w:sz="0" w:space="0" w:color="auto"/>
                <w:bottom w:val="none" w:sz="0" w:space="0" w:color="auto"/>
                <w:right w:val="none" w:sz="0" w:space="0" w:color="auto"/>
              </w:divBdr>
              <w:divsChild>
                <w:div w:id="2320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72300">
      <w:bodyDiv w:val="1"/>
      <w:marLeft w:val="0"/>
      <w:marRight w:val="0"/>
      <w:marTop w:val="0"/>
      <w:marBottom w:val="0"/>
      <w:divBdr>
        <w:top w:val="none" w:sz="0" w:space="0" w:color="auto"/>
        <w:left w:val="none" w:sz="0" w:space="0" w:color="auto"/>
        <w:bottom w:val="none" w:sz="0" w:space="0" w:color="auto"/>
        <w:right w:val="none" w:sz="0" w:space="0" w:color="auto"/>
      </w:divBdr>
      <w:divsChild>
        <w:div w:id="1009219090">
          <w:marLeft w:val="0"/>
          <w:marRight w:val="0"/>
          <w:marTop w:val="0"/>
          <w:marBottom w:val="0"/>
          <w:divBdr>
            <w:top w:val="none" w:sz="0" w:space="0" w:color="auto"/>
            <w:left w:val="none" w:sz="0" w:space="0" w:color="auto"/>
            <w:bottom w:val="none" w:sz="0" w:space="0" w:color="auto"/>
            <w:right w:val="none" w:sz="0" w:space="0" w:color="auto"/>
          </w:divBdr>
          <w:divsChild>
            <w:div w:id="1241791263">
              <w:marLeft w:val="0"/>
              <w:marRight w:val="0"/>
              <w:marTop w:val="0"/>
              <w:marBottom w:val="0"/>
              <w:divBdr>
                <w:top w:val="none" w:sz="0" w:space="0" w:color="auto"/>
                <w:left w:val="none" w:sz="0" w:space="0" w:color="auto"/>
                <w:bottom w:val="none" w:sz="0" w:space="0" w:color="auto"/>
                <w:right w:val="none" w:sz="0" w:space="0" w:color="auto"/>
              </w:divBdr>
              <w:divsChild>
                <w:div w:id="196346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94525">
      <w:bodyDiv w:val="1"/>
      <w:marLeft w:val="0"/>
      <w:marRight w:val="0"/>
      <w:marTop w:val="0"/>
      <w:marBottom w:val="0"/>
      <w:divBdr>
        <w:top w:val="none" w:sz="0" w:space="0" w:color="auto"/>
        <w:left w:val="none" w:sz="0" w:space="0" w:color="auto"/>
        <w:bottom w:val="none" w:sz="0" w:space="0" w:color="auto"/>
        <w:right w:val="none" w:sz="0" w:space="0" w:color="auto"/>
      </w:divBdr>
      <w:divsChild>
        <w:div w:id="1987317713">
          <w:marLeft w:val="0"/>
          <w:marRight w:val="0"/>
          <w:marTop w:val="0"/>
          <w:marBottom w:val="0"/>
          <w:divBdr>
            <w:top w:val="none" w:sz="0" w:space="0" w:color="auto"/>
            <w:left w:val="none" w:sz="0" w:space="0" w:color="auto"/>
            <w:bottom w:val="none" w:sz="0" w:space="0" w:color="auto"/>
            <w:right w:val="none" w:sz="0" w:space="0" w:color="auto"/>
          </w:divBdr>
          <w:divsChild>
            <w:div w:id="1303080467">
              <w:marLeft w:val="0"/>
              <w:marRight w:val="0"/>
              <w:marTop w:val="0"/>
              <w:marBottom w:val="0"/>
              <w:divBdr>
                <w:top w:val="none" w:sz="0" w:space="0" w:color="auto"/>
                <w:left w:val="none" w:sz="0" w:space="0" w:color="auto"/>
                <w:bottom w:val="none" w:sz="0" w:space="0" w:color="auto"/>
                <w:right w:val="none" w:sz="0" w:space="0" w:color="auto"/>
              </w:divBdr>
              <w:divsChild>
                <w:div w:id="4077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13361">
      <w:bodyDiv w:val="1"/>
      <w:marLeft w:val="0"/>
      <w:marRight w:val="0"/>
      <w:marTop w:val="0"/>
      <w:marBottom w:val="0"/>
      <w:divBdr>
        <w:top w:val="none" w:sz="0" w:space="0" w:color="auto"/>
        <w:left w:val="none" w:sz="0" w:space="0" w:color="auto"/>
        <w:bottom w:val="none" w:sz="0" w:space="0" w:color="auto"/>
        <w:right w:val="none" w:sz="0" w:space="0" w:color="auto"/>
      </w:divBdr>
      <w:divsChild>
        <w:div w:id="14307953">
          <w:marLeft w:val="0"/>
          <w:marRight w:val="0"/>
          <w:marTop w:val="0"/>
          <w:marBottom w:val="0"/>
          <w:divBdr>
            <w:top w:val="none" w:sz="0" w:space="0" w:color="auto"/>
            <w:left w:val="none" w:sz="0" w:space="0" w:color="auto"/>
            <w:bottom w:val="none" w:sz="0" w:space="0" w:color="auto"/>
            <w:right w:val="none" w:sz="0" w:space="0" w:color="auto"/>
          </w:divBdr>
          <w:divsChild>
            <w:div w:id="2097706536">
              <w:marLeft w:val="0"/>
              <w:marRight w:val="0"/>
              <w:marTop w:val="0"/>
              <w:marBottom w:val="0"/>
              <w:divBdr>
                <w:top w:val="none" w:sz="0" w:space="0" w:color="auto"/>
                <w:left w:val="none" w:sz="0" w:space="0" w:color="auto"/>
                <w:bottom w:val="none" w:sz="0" w:space="0" w:color="auto"/>
                <w:right w:val="none" w:sz="0" w:space="0" w:color="auto"/>
              </w:divBdr>
              <w:divsChild>
                <w:div w:id="210013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633646">
      <w:bodyDiv w:val="1"/>
      <w:marLeft w:val="0"/>
      <w:marRight w:val="0"/>
      <w:marTop w:val="0"/>
      <w:marBottom w:val="0"/>
      <w:divBdr>
        <w:top w:val="none" w:sz="0" w:space="0" w:color="auto"/>
        <w:left w:val="none" w:sz="0" w:space="0" w:color="auto"/>
        <w:bottom w:val="none" w:sz="0" w:space="0" w:color="auto"/>
        <w:right w:val="none" w:sz="0" w:space="0" w:color="auto"/>
      </w:divBdr>
      <w:divsChild>
        <w:div w:id="292369173">
          <w:marLeft w:val="0"/>
          <w:marRight w:val="0"/>
          <w:marTop w:val="0"/>
          <w:marBottom w:val="0"/>
          <w:divBdr>
            <w:top w:val="none" w:sz="0" w:space="0" w:color="auto"/>
            <w:left w:val="none" w:sz="0" w:space="0" w:color="auto"/>
            <w:bottom w:val="none" w:sz="0" w:space="0" w:color="auto"/>
            <w:right w:val="none" w:sz="0" w:space="0" w:color="auto"/>
          </w:divBdr>
          <w:divsChild>
            <w:div w:id="432945233">
              <w:marLeft w:val="0"/>
              <w:marRight w:val="0"/>
              <w:marTop w:val="0"/>
              <w:marBottom w:val="0"/>
              <w:divBdr>
                <w:top w:val="none" w:sz="0" w:space="0" w:color="auto"/>
                <w:left w:val="none" w:sz="0" w:space="0" w:color="auto"/>
                <w:bottom w:val="none" w:sz="0" w:space="0" w:color="auto"/>
                <w:right w:val="none" w:sz="0" w:space="0" w:color="auto"/>
              </w:divBdr>
              <w:divsChild>
                <w:div w:id="49160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143208">
      <w:bodyDiv w:val="1"/>
      <w:marLeft w:val="0"/>
      <w:marRight w:val="0"/>
      <w:marTop w:val="0"/>
      <w:marBottom w:val="0"/>
      <w:divBdr>
        <w:top w:val="none" w:sz="0" w:space="0" w:color="auto"/>
        <w:left w:val="none" w:sz="0" w:space="0" w:color="auto"/>
        <w:bottom w:val="none" w:sz="0" w:space="0" w:color="auto"/>
        <w:right w:val="none" w:sz="0" w:space="0" w:color="auto"/>
      </w:divBdr>
      <w:divsChild>
        <w:div w:id="1463647022">
          <w:marLeft w:val="0"/>
          <w:marRight w:val="0"/>
          <w:marTop w:val="0"/>
          <w:marBottom w:val="0"/>
          <w:divBdr>
            <w:top w:val="none" w:sz="0" w:space="0" w:color="auto"/>
            <w:left w:val="none" w:sz="0" w:space="0" w:color="auto"/>
            <w:bottom w:val="none" w:sz="0" w:space="0" w:color="auto"/>
            <w:right w:val="none" w:sz="0" w:space="0" w:color="auto"/>
          </w:divBdr>
          <w:divsChild>
            <w:div w:id="1085492719">
              <w:marLeft w:val="0"/>
              <w:marRight w:val="0"/>
              <w:marTop w:val="0"/>
              <w:marBottom w:val="0"/>
              <w:divBdr>
                <w:top w:val="none" w:sz="0" w:space="0" w:color="auto"/>
                <w:left w:val="none" w:sz="0" w:space="0" w:color="auto"/>
                <w:bottom w:val="none" w:sz="0" w:space="0" w:color="auto"/>
                <w:right w:val="none" w:sz="0" w:space="0" w:color="auto"/>
              </w:divBdr>
              <w:divsChild>
                <w:div w:id="170821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82732">
      <w:bodyDiv w:val="1"/>
      <w:marLeft w:val="0"/>
      <w:marRight w:val="0"/>
      <w:marTop w:val="0"/>
      <w:marBottom w:val="0"/>
      <w:divBdr>
        <w:top w:val="none" w:sz="0" w:space="0" w:color="auto"/>
        <w:left w:val="none" w:sz="0" w:space="0" w:color="auto"/>
        <w:bottom w:val="none" w:sz="0" w:space="0" w:color="auto"/>
        <w:right w:val="none" w:sz="0" w:space="0" w:color="auto"/>
      </w:divBdr>
      <w:divsChild>
        <w:div w:id="149636300">
          <w:marLeft w:val="0"/>
          <w:marRight w:val="0"/>
          <w:marTop w:val="0"/>
          <w:marBottom w:val="0"/>
          <w:divBdr>
            <w:top w:val="none" w:sz="0" w:space="0" w:color="auto"/>
            <w:left w:val="none" w:sz="0" w:space="0" w:color="auto"/>
            <w:bottom w:val="none" w:sz="0" w:space="0" w:color="auto"/>
            <w:right w:val="none" w:sz="0" w:space="0" w:color="auto"/>
          </w:divBdr>
          <w:divsChild>
            <w:div w:id="2065324959">
              <w:marLeft w:val="0"/>
              <w:marRight w:val="0"/>
              <w:marTop w:val="0"/>
              <w:marBottom w:val="0"/>
              <w:divBdr>
                <w:top w:val="none" w:sz="0" w:space="0" w:color="auto"/>
                <w:left w:val="none" w:sz="0" w:space="0" w:color="auto"/>
                <w:bottom w:val="none" w:sz="0" w:space="0" w:color="auto"/>
                <w:right w:val="none" w:sz="0" w:space="0" w:color="auto"/>
              </w:divBdr>
              <w:divsChild>
                <w:div w:id="70687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41436">
      <w:bodyDiv w:val="1"/>
      <w:marLeft w:val="0"/>
      <w:marRight w:val="0"/>
      <w:marTop w:val="0"/>
      <w:marBottom w:val="0"/>
      <w:divBdr>
        <w:top w:val="none" w:sz="0" w:space="0" w:color="auto"/>
        <w:left w:val="none" w:sz="0" w:space="0" w:color="auto"/>
        <w:bottom w:val="none" w:sz="0" w:space="0" w:color="auto"/>
        <w:right w:val="none" w:sz="0" w:space="0" w:color="auto"/>
      </w:divBdr>
      <w:divsChild>
        <w:div w:id="1512258213">
          <w:marLeft w:val="0"/>
          <w:marRight w:val="0"/>
          <w:marTop w:val="0"/>
          <w:marBottom w:val="0"/>
          <w:divBdr>
            <w:top w:val="none" w:sz="0" w:space="0" w:color="auto"/>
            <w:left w:val="none" w:sz="0" w:space="0" w:color="auto"/>
            <w:bottom w:val="none" w:sz="0" w:space="0" w:color="auto"/>
            <w:right w:val="none" w:sz="0" w:space="0" w:color="auto"/>
          </w:divBdr>
          <w:divsChild>
            <w:div w:id="960304775">
              <w:marLeft w:val="0"/>
              <w:marRight w:val="0"/>
              <w:marTop w:val="0"/>
              <w:marBottom w:val="0"/>
              <w:divBdr>
                <w:top w:val="none" w:sz="0" w:space="0" w:color="auto"/>
                <w:left w:val="none" w:sz="0" w:space="0" w:color="auto"/>
                <w:bottom w:val="none" w:sz="0" w:space="0" w:color="auto"/>
                <w:right w:val="none" w:sz="0" w:space="0" w:color="auto"/>
              </w:divBdr>
              <w:divsChild>
                <w:div w:id="98608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758657">
      <w:bodyDiv w:val="1"/>
      <w:marLeft w:val="0"/>
      <w:marRight w:val="0"/>
      <w:marTop w:val="0"/>
      <w:marBottom w:val="0"/>
      <w:divBdr>
        <w:top w:val="none" w:sz="0" w:space="0" w:color="auto"/>
        <w:left w:val="none" w:sz="0" w:space="0" w:color="auto"/>
        <w:bottom w:val="none" w:sz="0" w:space="0" w:color="auto"/>
        <w:right w:val="none" w:sz="0" w:space="0" w:color="auto"/>
      </w:divBdr>
      <w:divsChild>
        <w:div w:id="487326956">
          <w:marLeft w:val="0"/>
          <w:marRight w:val="0"/>
          <w:marTop w:val="0"/>
          <w:marBottom w:val="0"/>
          <w:divBdr>
            <w:top w:val="none" w:sz="0" w:space="0" w:color="auto"/>
            <w:left w:val="none" w:sz="0" w:space="0" w:color="auto"/>
            <w:bottom w:val="none" w:sz="0" w:space="0" w:color="auto"/>
            <w:right w:val="none" w:sz="0" w:space="0" w:color="auto"/>
          </w:divBdr>
          <w:divsChild>
            <w:div w:id="699014410">
              <w:marLeft w:val="0"/>
              <w:marRight w:val="0"/>
              <w:marTop w:val="0"/>
              <w:marBottom w:val="0"/>
              <w:divBdr>
                <w:top w:val="none" w:sz="0" w:space="0" w:color="auto"/>
                <w:left w:val="none" w:sz="0" w:space="0" w:color="auto"/>
                <w:bottom w:val="none" w:sz="0" w:space="0" w:color="auto"/>
                <w:right w:val="none" w:sz="0" w:space="0" w:color="auto"/>
              </w:divBdr>
              <w:divsChild>
                <w:div w:id="161763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14440">
      <w:bodyDiv w:val="1"/>
      <w:marLeft w:val="0"/>
      <w:marRight w:val="0"/>
      <w:marTop w:val="0"/>
      <w:marBottom w:val="0"/>
      <w:divBdr>
        <w:top w:val="none" w:sz="0" w:space="0" w:color="auto"/>
        <w:left w:val="none" w:sz="0" w:space="0" w:color="auto"/>
        <w:bottom w:val="none" w:sz="0" w:space="0" w:color="auto"/>
        <w:right w:val="none" w:sz="0" w:space="0" w:color="auto"/>
      </w:divBdr>
      <w:divsChild>
        <w:div w:id="407852234">
          <w:marLeft w:val="0"/>
          <w:marRight w:val="0"/>
          <w:marTop w:val="0"/>
          <w:marBottom w:val="0"/>
          <w:divBdr>
            <w:top w:val="none" w:sz="0" w:space="0" w:color="auto"/>
            <w:left w:val="none" w:sz="0" w:space="0" w:color="auto"/>
            <w:bottom w:val="none" w:sz="0" w:space="0" w:color="auto"/>
            <w:right w:val="none" w:sz="0" w:space="0" w:color="auto"/>
          </w:divBdr>
          <w:divsChild>
            <w:div w:id="1137067514">
              <w:marLeft w:val="0"/>
              <w:marRight w:val="0"/>
              <w:marTop w:val="0"/>
              <w:marBottom w:val="0"/>
              <w:divBdr>
                <w:top w:val="none" w:sz="0" w:space="0" w:color="auto"/>
                <w:left w:val="none" w:sz="0" w:space="0" w:color="auto"/>
                <w:bottom w:val="none" w:sz="0" w:space="0" w:color="auto"/>
                <w:right w:val="none" w:sz="0" w:space="0" w:color="auto"/>
              </w:divBdr>
              <w:divsChild>
                <w:div w:id="199494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811376">
      <w:bodyDiv w:val="1"/>
      <w:marLeft w:val="0"/>
      <w:marRight w:val="0"/>
      <w:marTop w:val="0"/>
      <w:marBottom w:val="0"/>
      <w:divBdr>
        <w:top w:val="none" w:sz="0" w:space="0" w:color="auto"/>
        <w:left w:val="none" w:sz="0" w:space="0" w:color="auto"/>
        <w:bottom w:val="none" w:sz="0" w:space="0" w:color="auto"/>
        <w:right w:val="none" w:sz="0" w:space="0" w:color="auto"/>
      </w:divBdr>
      <w:divsChild>
        <w:div w:id="1099763949">
          <w:marLeft w:val="0"/>
          <w:marRight w:val="0"/>
          <w:marTop w:val="0"/>
          <w:marBottom w:val="0"/>
          <w:divBdr>
            <w:top w:val="none" w:sz="0" w:space="0" w:color="auto"/>
            <w:left w:val="none" w:sz="0" w:space="0" w:color="auto"/>
            <w:bottom w:val="none" w:sz="0" w:space="0" w:color="auto"/>
            <w:right w:val="none" w:sz="0" w:space="0" w:color="auto"/>
          </w:divBdr>
          <w:divsChild>
            <w:div w:id="289476294">
              <w:marLeft w:val="0"/>
              <w:marRight w:val="0"/>
              <w:marTop w:val="0"/>
              <w:marBottom w:val="0"/>
              <w:divBdr>
                <w:top w:val="none" w:sz="0" w:space="0" w:color="auto"/>
                <w:left w:val="none" w:sz="0" w:space="0" w:color="auto"/>
                <w:bottom w:val="none" w:sz="0" w:space="0" w:color="auto"/>
                <w:right w:val="none" w:sz="0" w:space="0" w:color="auto"/>
              </w:divBdr>
              <w:divsChild>
                <w:div w:id="2460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22805">
      <w:bodyDiv w:val="1"/>
      <w:marLeft w:val="0"/>
      <w:marRight w:val="0"/>
      <w:marTop w:val="0"/>
      <w:marBottom w:val="0"/>
      <w:divBdr>
        <w:top w:val="none" w:sz="0" w:space="0" w:color="auto"/>
        <w:left w:val="none" w:sz="0" w:space="0" w:color="auto"/>
        <w:bottom w:val="none" w:sz="0" w:space="0" w:color="auto"/>
        <w:right w:val="none" w:sz="0" w:space="0" w:color="auto"/>
      </w:divBdr>
      <w:divsChild>
        <w:div w:id="1545215161">
          <w:marLeft w:val="0"/>
          <w:marRight w:val="0"/>
          <w:marTop w:val="0"/>
          <w:marBottom w:val="0"/>
          <w:divBdr>
            <w:top w:val="none" w:sz="0" w:space="0" w:color="auto"/>
            <w:left w:val="none" w:sz="0" w:space="0" w:color="auto"/>
            <w:bottom w:val="none" w:sz="0" w:space="0" w:color="auto"/>
            <w:right w:val="none" w:sz="0" w:space="0" w:color="auto"/>
          </w:divBdr>
          <w:divsChild>
            <w:div w:id="1119909605">
              <w:marLeft w:val="0"/>
              <w:marRight w:val="0"/>
              <w:marTop w:val="0"/>
              <w:marBottom w:val="0"/>
              <w:divBdr>
                <w:top w:val="none" w:sz="0" w:space="0" w:color="auto"/>
                <w:left w:val="none" w:sz="0" w:space="0" w:color="auto"/>
                <w:bottom w:val="none" w:sz="0" w:space="0" w:color="auto"/>
                <w:right w:val="none" w:sz="0" w:space="0" w:color="auto"/>
              </w:divBdr>
              <w:divsChild>
                <w:div w:id="7743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93699">
      <w:bodyDiv w:val="1"/>
      <w:marLeft w:val="0"/>
      <w:marRight w:val="0"/>
      <w:marTop w:val="0"/>
      <w:marBottom w:val="0"/>
      <w:divBdr>
        <w:top w:val="none" w:sz="0" w:space="0" w:color="auto"/>
        <w:left w:val="none" w:sz="0" w:space="0" w:color="auto"/>
        <w:bottom w:val="none" w:sz="0" w:space="0" w:color="auto"/>
        <w:right w:val="none" w:sz="0" w:space="0" w:color="auto"/>
      </w:divBdr>
      <w:divsChild>
        <w:div w:id="1012220782">
          <w:marLeft w:val="0"/>
          <w:marRight w:val="0"/>
          <w:marTop w:val="0"/>
          <w:marBottom w:val="0"/>
          <w:divBdr>
            <w:top w:val="none" w:sz="0" w:space="0" w:color="auto"/>
            <w:left w:val="none" w:sz="0" w:space="0" w:color="auto"/>
            <w:bottom w:val="none" w:sz="0" w:space="0" w:color="auto"/>
            <w:right w:val="none" w:sz="0" w:space="0" w:color="auto"/>
          </w:divBdr>
          <w:divsChild>
            <w:div w:id="105930019">
              <w:marLeft w:val="0"/>
              <w:marRight w:val="0"/>
              <w:marTop w:val="0"/>
              <w:marBottom w:val="0"/>
              <w:divBdr>
                <w:top w:val="none" w:sz="0" w:space="0" w:color="auto"/>
                <w:left w:val="none" w:sz="0" w:space="0" w:color="auto"/>
                <w:bottom w:val="none" w:sz="0" w:space="0" w:color="auto"/>
                <w:right w:val="none" w:sz="0" w:space="0" w:color="auto"/>
              </w:divBdr>
              <w:divsChild>
                <w:div w:id="18865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82291">
      <w:bodyDiv w:val="1"/>
      <w:marLeft w:val="0"/>
      <w:marRight w:val="0"/>
      <w:marTop w:val="0"/>
      <w:marBottom w:val="0"/>
      <w:divBdr>
        <w:top w:val="none" w:sz="0" w:space="0" w:color="auto"/>
        <w:left w:val="none" w:sz="0" w:space="0" w:color="auto"/>
        <w:bottom w:val="none" w:sz="0" w:space="0" w:color="auto"/>
        <w:right w:val="none" w:sz="0" w:space="0" w:color="auto"/>
      </w:divBdr>
      <w:divsChild>
        <w:div w:id="830104239">
          <w:marLeft w:val="0"/>
          <w:marRight w:val="0"/>
          <w:marTop w:val="0"/>
          <w:marBottom w:val="0"/>
          <w:divBdr>
            <w:top w:val="none" w:sz="0" w:space="0" w:color="auto"/>
            <w:left w:val="none" w:sz="0" w:space="0" w:color="auto"/>
            <w:bottom w:val="none" w:sz="0" w:space="0" w:color="auto"/>
            <w:right w:val="none" w:sz="0" w:space="0" w:color="auto"/>
          </w:divBdr>
          <w:divsChild>
            <w:div w:id="45838088">
              <w:marLeft w:val="0"/>
              <w:marRight w:val="0"/>
              <w:marTop w:val="0"/>
              <w:marBottom w:val="0"/>
              <w:divBdr>
                <w:top w:val="none" w:sz="0" w:space="0" w:color="auto"/>
                <w:left w:val="none" w:sz="0" w:space="0" w:color="auto"/>
                <w:bottom w:val="none" w:sz="0" w:space="0" w:color="auto"/>
                <w:right w:val="none" w:sz="0" w:space="0" w:color="auto"/>
              </w:divBdr>
              <w:divsChild>
                <w:div w:id="5128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58133">
      <w:bodyDiv w:val="1"/>
      <w:marLeft w:val="0"/>
      <w:marRight w:val="0"/>
      <w:marTop w:val="0"/>
      <w:marBottom w:val="0"/>
      <w:divBdr>
        <w:top w:val="none" w:sz="0" w:space="0" w:color="auto"/>
        <w:left w:val="none" w:sz="0" w:space="0" w:color="auto"/>
        <w:bottom w:val="none" w:sz="0" w:space="0" w:color="auto"/>
        <w:right w:val="none" w:sz="0" w:space="0" w:color="auto"/>
      </w:divBdr>
      <w:divsChild>
        <w:div w:id="291055431">
          <w:marLeft w:val="0"/>
          <w:marRight w:val="0"/>
          <w:marTop w:val="0"/>
          <w:marBottom w:val="0"/>
          <w:divBdr>
            <w:top w:val="none" w:sz="0" w:space="0" w:color="auto"/>
            <w:left w:val="none" w:sz="0" w:space="0" w:color="auto"/>
            <w:bottom w:val="none" w:sz="0" w:space="0" w:color="auto"/>
            <w:right w:val="none" w:sz="0" w:space="0" w:color="auto"/>
          </w:divBdr>
          <w:divsChild>
            <w:div w:id="549616522">
              <w:marLeft w:val="0"/>
              <w:marRight w:val="0"/>
              <w:marTop w:val="0"/>
              <w:marBottom w:val="0"/>
              <w:divBdr>
                <w:top w:val="none" w:sz="0" w:space="0" w:color="auto"/>
                <w:left w:val="none" w:sz="0" w:space="0" w:color="auto"/>
                <w:bottom w:val="none" w:sz="0" w:space="0" w:color="auto"/>
                <w:right w:val="none" w:sz="0" w:space="0" w:color="auto"/>
              </w:divBdr>
              <w:divsChild>
                <w:div w:id="13709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663280">
      <w:bodyDiv w:val="1"/>
      <w:marLeft w:val="0"/>
      <w:marRight w:val="0"/>
      <w:marTop w:val="0"/>
      <w:marBottom w:val="0"/>
      <w:divBdr>
        <w:top w:val="none" w:sz="0" w:space="0" w:color="auto"/>
        <w:left w:val="none" w:sz="0" w:space="0" w:color="auto"/>
        <w:bottom w:val="none" w:sz="0" w:space="0" w:color="auto"/>
        <w:right w:val="none" w:sz="0" w:space="0" w:color="auto"/>
      </w:divBdr>
      <w:divsChild>
        <w:div w:id="882330736">
          <w:marLeft w:val="0"/>
          <w:marRight w:val="0"/>
          <w:marTop w:val="0"/>
          <w:marBottom w:val="0"/>
          <w:divBdr>
            <w:top w:val="none" w:sz="0" w:space="0" w:color="auto"/>
            <w:left w:val="none" w:sz="0" w:space="0" w:color="auto"/>
            <w:bottom w:val="none" w:sz="0" w:space="0" w:color="auto"/>
            <w:right w:val="none" w:sz="0" w:space="0" w:color="auto"/>
          </w:divBdr>
          <w:divsChild>
            <w:div w:id="331950458">
              <w:marLeft w:val="0"/>
              <w:marRight w:val="0"/>
              <w:marTop w:val="0"/>
              <w:marBottom w:val="0"/>
              <w:divBdr>
                <w:top w:val="none" w:sz="0" w:space="0" w:color="auto"/>
                <w:left w:val="none" w:sz="0" w:space="0" w:color="auto"/>
                <w:bottom w:val="none" w:sz="0" w:space="0" w:color="auto"/>
                <w:right w:val="none" w:sz="0" w:space="0" w:color="auto"/>
              </w:divBdr>
              <w:divsChild>
                <w:div w:id="19352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76652">
      <w:bodyDiv w:val="1"/>
      <w:marLeft w:val="0"/>
      <w:marRight w:val="0"/>
      <w:marTop w:val="0"/>
      <w:marBottom w:val="0"/>
      <w:divBdr>
        <w:top w:val="none" w:sz="0" w:space="0" w:color="auto"/>
        <w:left w:val="none" w:sz="0" w:space="0" w:color="auto"/>
        <w:bottom w:val="none" w:sz="0" w:space="0" w:color="auto"/>
        <w:right w:val="none" w:sz="0" w:space="0" w:color="auto"/>
      </w:divBdr>
      <w:divsChild>
        <w:div w:id="1047605127">
          <w:marLeft w:val="0"/>
          <w:marRight w:val="0"/>
          <w:marTop w:val="0"/>
          <w:marBottom w:val="0"/>
          <w:divBdr>
            <w:top w:val="none" w:sz="0" w:space="0" w:color="auto"/>
            <w:left w:val="none" w:sz="0" w:space="0" w:color="auto"/>
            <w:bottom w:val="none" w:sz="0" w:space="0" w:color="auto"/>
            <w:right w:val="none" w:sz="0" w:space="0" w:color="auto"/>
          </w:divBdr>
          <w:divsChild>
            <w:div w:id="2138406048">
              <w:marLeft w:val="0"/>
              <w:marRight w:val="0"/>
              <w:marTop w:val="0"/>
              <w:marBottom w:val="0"/>
              <w:divBdr>
                <w:top w:val="none" w:sz="0" w:space="0" w:color="auto"/>
                <w:left w:val="none" w:sz="0" w:space="0" w:color="auto"/>
                <w:bottom w:val="none" w:sz="0" w:space="0" w:color="auto"/>
                <w:right w:val="none" w:sz="0" w:space="0" w:color="auto"/>
              </w:divBdr>
              <w:divsChild>
                <w:div w:id="9932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6186">
      <w:bodyDiv w:val="1"/>
      <w:marLeft w:val="0"/>
      <w:marRight w:val="0"/>
      <w:marTop w:val="0"/>
      <w:marBottom w:val="0"/>
      <w:divBdr>
        <w:top w:val="none" w:sz="0" w:space="0" w:color="auto"/>
        <w:left w:val="none" w:sz="0" w:space="0" w:color="auto"/>
        <w:bottom w:val="none" w:sz="0" w:space="0" w:color="auto"/>
        <w:right w:val="none" w:sz="0" w:space="0" w:color="auto"/>
      </w:divBdr>
      <w:divsChild>
        <w:div w:id="1796286950">
          <w:marLeft w:val="0"/>
          <w:marRight w:val="0"/>
          <w:marTop w:val="0"/>
          <w:marBottom w:val="0"/>
          <w:divBdr>
            <w:top w:val="none" w:sz="0" w:space="0" w:color="auto"/>
            <w:left w:val="none" w:sz="0" w:space="0" w:color="auto"/>
            <w:bottom w:val="none" w:sz="0" w:space="0" w:color="auto"/>
            <w:right w:val="none" w:sz="0" w:space="0" w:color="auto"/>
          </w:divBdr>
          <w:divsChild>
            <w:div w:id="1184784994">
              <w:marLeft w:val="0"/>
              <w:marRight w:val="0"/>
              <w:marTop w:val="0"/>
              <w:marBottom w:val="0"/>
              <w:divBdr>
                <w:top w:val="none" w:sz="0" w:space="0" w:color="auto"/>
                <w:left w:val="none" w:sz="0" w:space="0" w:color="auto"/>
                <w:bottom w:val="none" w:sz="0" w:space="0" w:color="auto"/>
                <w:right w:val="none" w:sz="0" w:space="0" w:color="auto"/>
              </w:divBdr>
              <w:divsChild>
                <w:div w:id="19101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603296">
      <w:bodyDiv w:val="1"/>
      <w:marLeft w:val="0"/>
      <w:marRight w:val="0"/>
      <w:marTop w:val="0"/>
      <w:marBottom w:val="0"/>
      <w:divBdr>
        <w:top w:val="none" w:sz="0" w:space="0" w:color="auto"/>
        <w:left w:val="none" w:sz="0" w:space="0" w:color="auto"/>
        <w:bottom w:val="none" w:sz="0" w:space="0" w:color="auto"/>
        <w:right w:val="none" w:sz="0" w:space="0" w:color="auto"/>
      </w:divBdr>
      <w:divsChild>
        <w:div w:id="180901937">
          <w:marLeft w:val="0"/>
          <w:marRight w:val="0"/>
          <w:marTop w:val="0"/>
          <w:marBottom w:val="0"/>
          <w:divBdr>
            <w:top w:val="none" w:sz="0" w:space="0" w:color="auto"/>
            <w:left w:val="none" w:sz="0" w:space="0" w:color="auto"/>
            <w:bottom w:val="none" w:sz="0" w:space="0" w:color="auto"/>
            <w:right w:val="none" w:sz="0" w:space="0" w:color="auto"/>
          </w:divBdr>
          <w:divsChild>
            <w:div w:id="1715691053">
              <w:marLeft w:val="0"/>
              <w:marRight w:val="0"/>
              <w:marTop w:val="0"/>
              <w:marBottom w:val="0"/>
              <w:divBdr>
                <w:top w:val="none" w:sz="0" w:space="0" w:color="auto"/>
                <w:left w:val="none" w:sz="0" w:space="0" w:color="auto"/>
                <w:bottom w:val="none" w:sz="0" w:space="0" w:color="auto"/>
                <w:right w:val="none" w:sz="0" w:space="0" w:color="auto"/>
              </w:divBdr>
              <w:divsChild>
                <w:div w:id="112866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9144">
      <w:bodyDiv w:val="1"/>
      <w:marLeft w:val="0"/>
      <w:marRight w:val="0"/>
      <w:marTop w:val="0"/>
      <w:marBottom w:val="0"/>
      <w:divBdr>
        <w:top w:val="none" w:sz="0" w:space="0" w:color="auto"/>
        <w:left w:val="none" w:sz="0" w:space="0" w:color="auto"/>
        <w:bottom w:val="none" w:sz="0" w:space="0" w:color="auto"/>
        <w:right w:val="none" w:sz="0" w:space="0" w:color="auto"/>
      </w:divBdr>
      <w:divsChild>
        <w:div w:id="1387995315">
          <w:marLeft w:val="0"/>
          <w:marRight w:val="0"/>
          <w:marTop w:val="0"/>
          <w:marBottom w:val="0"/>
          <w:divBdr>
            <w:top w:val="none" w:sz="0" w:space="0" w:color="auto"/>
            <w:left w:val="none" w:sz="0" w:space="0" w:color="auto"/>
            <w:bottom w:val="none" w:sz="0" w:space="0" w:color="auto"/>
            <w:right w:val="none" w:sz="0" w:space="0" w:color="auto"/>
          </w:divBdr>
          <w:divsChild>
            <w:div w:id="2036690777">
              <w:marLeft w:val="0"/>
              <w:marRight w:val="0"/>
              <w:marTop w:val="0"/>
              <w:marBottom w:val="0"/>
              <w:divBdr>
                <w:top w:val="none" w:sz="0" w:space="0" w:color="auto"/>
                <w:left w:val="none" w:sz="0" w:space="0" w:color="auto"/>
                <w:bottom w:val="none" w:sz="0" w:space="0" w:color="auto"/>
                <w:right w:val="none" w:sz="0" w:space="0" w:color="auto"/>
              </w:divBdr>
              <w:divsChild>
                <w:div w:id="142425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79758">
      <w:bodyDiv w:val="1"/>
      <w:marLeft w:val="0"/>
      <w:marRight w:val="0"/>
      <w:marTop w:val="0"/>
      <w:marBottom w:val="0"/>
      <w:divBdr>
        <w:top w:val="none" w:sz="0" w:space="0" w:color="auto"/>
        <w:left w:val="none" w:sz="0" w:space="0" w:color="auto"/>
        <w:bottom w:val="none" w:sz="0" w:space="0" w:color="auto"/>
        <w:right w:val="none" w:sz="0" w:space="0" w:color="auto"/>
      </w:divBdr>
      <w:divsChild>
        <w:div w:id="442727109">
          <w:marLeft w:val="0"/>
          <w:marRight w:val="0"/>
          <w:marTop w:val="0"/>
          <w:marBottom w:val="0"/>
          <w:divBdr>
            <w:top w:val="none" w:sz="0" w:space="0" w:color="auto"/>
            <w:left w:val="none" w:sz="0" w:space="0" w:color="auto"/>
            <w:bottom w:val="none" w:sz="0" w:space="0" w:color="auto"/>
            <w:right w:val="none" w:sz="0" w:space="0" w:color="auto"/>
          </w:divBdr>
          <w:divsChild>
            <w:div w:id="674458402">
              <w:marLeft w:val="0"/>
              <w:marRight w:val="0"/>
              <w:marTop w:val="0"/>
              <w:marBottom w:val="0"/>
              <w:divBdr>
                <w:top w:val="none" w:sz="0" w:space="0" w:color="auto"/>
                <w:left w:val="none" w:sz="0" w:space="0" w:color="auto"/>
                <w:bottom w:val="none" w:sz="0" w:space="0" w:color="auto"/>
                <w:right w:val="none" w:sz="0" w:space="0" w:color="auto"/>
              </w:divBdr>
              <w:divsChild>
                <w:div w:id="9820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sChild>
        <w:div w:id="237254686">
          <w:marLeft w:val="0"/>
          <w:marRight w:val="0"/>
          <w:marTop w:val="0"/>
          <w:marBottom w:val="0"/>
          <w:divBdr>
            <w:top w:val="none" w:sz="0" w:space="0" w:color="auto"/>
            <w:left w:val="none" w:sz="0" w:space="0" w:color="auto"/>
            <w:bottom w:val="none" w:sz="0" w:space="0" w:color="auto"/>
            <w:right w:val="none" w:sz="0" w:space="0" w:color="auto"/>
          </w:divBdr>
          <w:divsChild>
            <w:div w:id="1333945078">
              <w:marLeft w:val="0"/>
              <w:marRight w:val="0"/>
              <w:marTop w:val="0"/>
              <w:marBottom w:val="0"/>
              <w:divBdr>
                <w:top w:val="none" w:sz="0" w:space="0" w:color="auto"/>
                <w:left w:val="none" w:sz="0" w:space="0" w:color="auto"/>
                <w:bottom w:val="none" w:sz="0" w:space="0" w:color="auto"/>
                <w:right w:val="none" w:sz="0" w:space="0" w:color="auto"/>
              </w:divBdr>
              <w:divsChild>
                <w:div w:id="895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89036">
      <w:bodyDiv w:val="1"/>
      <w:marLeft w:val="0"/>
      <w:marRight w:val="0"/>
      <w:marTop w:val="0"/>
      <w:marBottom w:val="0"/>
      <w:divBdr>
        <w:top w:val="none" w:sz="0" w:space="0" w:color="auto"/>
        <w:left w:val="none" w:sz="0" w:space="0" w:color="auto"/>
        <w:bottom w:val="none" w:sz="0" w:space="0" w:color="auto"/>
        <w:right w:val="none" w:sz="0" w:space="0" w:color="auto"/>
      </w:divBdr>
      <w:divsChild>
        <w:div w:id="1696343846">
          <w:marLeft w:val="0"/>
          <w:marRight w:val="0"/>
          <w:marTop w:val="0"/>
          <w:marBottom w:val="0"/>
          <w:divBdr>
            <w:top w:val="none" w:sz="0" w:space="0" w:color="auto"/>
            <w:left w:val="none" w:sz="0" w:space="0" w:color="auto"/>
            <w:bottom w:val="none" w:sz="0" w:space="0" w:color="auto"/>
            <w:right w:val="none" w:sz="0" w:space="0" w:color="auto"/>
          </w:divBdr>
          <w:divsChild>
            <w:div w:id="1514495489">
              <w:marLeft w:val="0"/>
              <w:marRight w:val="0"/>
              <w:marTop w:val="0"/>
              <w:marBottom w:val="0"/>
              <w:divBdr>
                <w:top w:val="none" w:sz="0" w:space="0" w:color="auto"/>
                <w:left w:val="none" w:sz="0" w:space="0" w:color="auto"/>
                <w:bottom w:val="none" w:sz="0" w:space="0" w:color="auto"/>
                <w:right w:val="none" w:sz="0" w:space="0" w:color="auto"/>
              </w:divBdr>
              <w:divsChild>
                <w:div w:id="17743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5234">
      <w:bodyDiv w:val="1"/>
      <w:marLeft w:val="0"/>
      <w:marRight w:val="0"/>
      <w:marTop w:val="0"/>
      <w:marBottom w:val="0"/>
      <w:divBdr>
        <w:top w:val="none" w:sz="0" w:space="0" w:color="auto"/>
        <w:left w:val="none" w:sz="0" w:space="0" w:color="auto"/>
        <w:bottom w:val="none" w:sz="0" w:space="0" w:color="auto"/>
        <w:right w:val="none" w:sz="0" w:space="0" w:color="auto"/>
      </w:divBdr>
      <w:divsChild>
        <w:div w:id="1058431383">
          <w:marLeft w:val="0"/>
          <w:marRight w:val="0"/>
          <w:marTop w:val="0"/>
          <w:marBottom w:val="0"/>
          <w:divBdr>
            <w:top w:val="none" w:sz="0" w:space="0" w:color="auto"/>
            <w:left w:val="none" w:sz="0" w:space="0" w:color="auto"/>
            <w:bottom w:val="none" w:sz="0" w:space="0" w:color="auto"/>
            <w:right w:val="none" w:sz="0" w:space="0" w:color="auto"/>
          </w:divBdr>
          <w:divsChild>
            <w:div w:id="1782408311">
              <w:marLeft w:val="0"/>
              <w:marRight w:val="0"/>
              <w:marTop w:val="0"/>
              <w:marBottom w:val="0"/>
              <w:divBdr>
                <w:top w:val="none" w:sz="0" w:space="0" w:color="auto"/>
                <w:left w:val="none" w:sz="0" w:space="0" w:color="auto"/>
                <w:bottom w:val="none" w:sz="0" w:space="0" w:color="auto"/>
                <w:right w:val="none" w:sz="0" w:space="0" w:color="auto"/>
              </w:divBdr>
              <w:divsChild>
                <w:div w:id="20886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10984">
      <w:bodyDiv w:val="1"/>
      <w:marLeft w:val="0"/>
      <w:marRight w:val="0"/>
      <w:marTop w:val="0"/>
      <w:marBottom w:val="0"/>
      <w:divBdr>
        <w:top w:val="none" w:sz="0" w:space="0" w:color="auto"/>
        <w:left w:val="none" w:sz="0" w:space="0" w:color="auto"/>
        <w:bottom w:val="none" w:sz="0" w:space="0" w:color="auto"/>
        <w:right w:val="none" w:sz="0" w:space="0" w:color="auto"/>
      </w:divBdr>
      <w:divsChild>
        <w:div w:id="1809201870">
          <w:marLeft w:val="0"/>
          <w:marRight w:val="0"/>
          <w:marTop w:val="0"/>
          <w:marBottom w:val="0"/>
          <w:divBdr>
            <w:top w:val="none" w:sz="0" w:space="0" w:color="auto"/>
            <w:left w:val="none" w:sz="0" w:space="0" w:color="auto"/>
            <w:bottom w:val="none" w:sz="0" w:space="0" w:color="auto"/>
            <w:right w:val="none" w:sz="0" w:space="0" w:color="auto"/>
          </w:divBdr>
          <w:divsChild>
            <w:div w:id="1321693074">
              <w:marLeft w:val="0"/>
              <w:marRight w:val="0"/>
              <w:marTop w:val="0"/>
              <w:marBottom w:val="0"/>
              <w:divBdr>
                <w:top w:val="none" w:sz="0" w:space="0" w:color="auto"/>
                <w:left w:val="none" w:sz="0" w:space="0" w:color="auto"/>
                <w:bottom w:val="none" w:sz="0" w:space="0" w:color="auto"/>
                <w:right w:val="none" w:sz="0" w:space="0" w:color="auto"/>
              </w:divBdr>
              <w:divsChild>
                <w:div w:id="131826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755099">
      <w:bodyDiv w:val="1"/>
      <w:marLeft w:val="0"/>
      <w:marRight w:val="0"/>
      <w:marTop w:val="0"/>
      <w:marBottom w:val="0"/>
      <w:divBdr>
        <w:top w:val="none" w:sz="0" w:space="0" w:color="auto"/>
        <w:left w:val="none" w:sz="0" w:space="0" w:color="auto"/>
        <w:bottom w:val="none" w:sz="0" w:space="0" w:color="auto"/>
        <w:right w:val="none" w:sz="0" w:space="0" w:color="auto"/>
      </w:divBdr>
      <w:divsChild>
        <w:div w:id="7215499">
          <w:marLeft w:val="0"/>
          <w:marRight w:val="0"/>
          <w:marTop w:val="0"/>
          <w:marBottom w:val="0"/>
          <w:divBdr>
            <w:top w:val="none" w:sz="0" w:space="0" w:color="auto"/>
            <w:left w:val="none" w:sz="0" w:space="0" w:color="auto"/>
            <w:bottom w:val="none" w:sz="0" w:space="0" w:color="auto"/>
            <w:right w:val="none" w:sz="0" w:space="0" w:color="auto"/>
          </w:divBdr>
          <w:divsChild>
            <w:div w:id="1933973252">
              <w:marLeft w:val="0"/>
              <w:marRight w:val="0"/>
              <w:marTop w:val="0"/>
              <w:marBottom w:val="0"/>
              <w:divBdr>
                <w:top w:val="none" w:sz="0" w:space="0" w:color="auto"/>
                <w:left w:val="none" w:sz="0" w:space="0" w:color="auto"/>
                <w:bottom w:val="none" w:sz="0" w:space="0" w:color="auto"/>
                <w:right w:val="none" w:sz="0" w:space="0" w:color="auto"/>
              </w:divBdr>
              <w:divsChild>
                <w:div w:id="774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601728">
      <w:bodyDiv w:val="1"/>
      <w:marLeft w:val="0"/>
      <w:marRight w:val="0"/>
      <w:marTop w:val="0"/>
      <w:marBottom w:val="0"/>
      <w:divBdr>
        <w:top w:val="none" w:sz="0" w:space="0" w:color="auto"/>
        <w:left w:val="none" w:sz="0" w:space="0" w:color="auto"/>
        <w:bottom w:val="none" w:sz="0" w:space="0" w:color="auto"/>
        <w:right w:val="none" w:sz="0" w:space="0" w:color="auto"/>
      </w:divBdr>
      <w:divsChild>
        <w:div w:id="1284263237">
          <w:marLeft w:val="0"/>
          <w:marRight w:val="0"/>
          <w:marTop w:val="0"/>
          <w:marBottom w:val="0"/>
          <w:divBdr>
            <w:top w:val="none" w:sz="0" w:space="0" w:color="auto"/>
            <w:left w:val="none" w:sz="0" w:space="0" w:color="auto"/>
            <w:bottom w:val="none" w:sz="0" w:space="0" w:color="auto"/>
            <w:right w:val="none" w:sz="0" w:space="0" w:color="auto"/>
          </w:divBdr>
          <w:divsChild>
            <w:div w:id="1005283037">
              <w:marLeft w:val="0"/>
              <w:marRight w:val="0"/>
              <w:marTop w:val="0"/>
              <w:marBottom w:val="0"/>
              <w:divBdr>
                <w:top w:val="none" w:sz="0" w:space="0" w:color="auto"/>
                <w:left w:val="none" w:sz="0" w:space="0" w:color="auto"/>
                <w:bottom w:val="none" w:sz="0" w:space="0" w:color="auto"/>
                <w:right w:val="none" w:sz="0" w:space="0" w:color="auto"/>
              </w:divBdr>
              <w:divsChild>
                <w:div w:id="14889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2BB5A1-626D-4618-9DC2-F59E45A36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4252</Words>
  <Characters>24242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Vivian Wang</cp:lastModifiedBy>
  <cp:revision>7</cp:revision>
  <dcterms:created xsi:type="dcterms:W3CDTF">2023-08-25T08:10:00Z</dcterms:created>
  <dcterms:modified xsi:type="dcterms:W3CDTF">2023-08-25T08:19:00Z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