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CD3D" w14:textId="4496512A" w:rsidR="00061E17" w:rsidRPr="002F717E" w:rsidRDefault="002F717E">
      <w:pPr>
        <w:widowControl w:val="0"/>
        <w:spacing w:after="0" w:line="240" w:lineRule="auto"/>
        <w:jc w:val="center"/>
        <w:rPr>
          <w:rFonts w:ascii="Arial" w:eastAsia="宋体" w:hAnsi="Arial" w:cs="Arial"/>
          <w:b/>
          <w:kern w:val="2"/>
          <w:sz w:val="32"/>
          <w:szCs w:val="32"/>
          <w:lang w:val="en-US" w:eastAsia="zh-TW"/>
        </w:rPr>
      </w:pPr>
      <w:r w:rsidRPr="002F717E">
        <w:rPr>
          <w:rFonts w:ascii="Arial" w:eastAsia="宋体" w:hAnsi="Arial" w:cs="Arial" w:hint="eastAsia"/>
          <w:b/>
          <w:kern w:val="2"/>
          <w:sz w:val="32"/>
          <w:szCs w:val="32"/>
          <w:lang w:val="en-US" w:eastAsia="zh-TW"/>
        </w:rPr>
        <w:t>招商銀行公佈</w:t>
      </w:r>
      <w:r w:rsidRPr="002F717E">
        <w:rPr>
          <w:rFonts w:ascii="Arial" w:eastAsia="宋体" w:hAnsi="Arial" w:cs="Arial"/>
          <w:b/>
          <w:kern w:val="2"/>
          <w:sz w:val="32"/>
          <w:szCs w:val="32"/>
          <w:lang w:val="en-US" w:eastAsia="zh-TW"/>
        </w:rPr>
        <w:t>2023</w:t>
      </w:r>
      <w:r w:rsidRPr="002F717E">
        <w:rPr>
          <w:rFonts w:ascii="Arial" w:eastAsia="宋体" w:hAnsi="Arial" w:cs="Arial" w:hint="eastAsia"/>
          <w:b/>
          <w:kern w:val="2"/>
          <w:sz w:val="32"/>
          <w:szCs w:val="32"/>
          <w:lang w:val="en-US" w:eastAsia="zh-TW"/>
        </w:rPr>
        <w:t>年中期業績</w:t>
      </w:r>
    </w:p>
    <w:p w14:paraId="7AC3580E" w14:textId="4D61E86A" w:rsidR="00061E17" w:rsidRPr="00CF4670" w:rsidRDefault="002F717E">
      <w:pPr>
        <w:widowControl w:val="0"/>
        <w:spacing w:after="0" w:line="240" w:lineRule="auto"/>
        <w:jc w:val="center"/>
        <w:rPr>
          <w:rFonts w:ascii="Arial" w:eastAsia="宋体" w:hAnsi="Arial" w:cs="Arial"/>
          <w:b/>
          <w:color w:val="000000"/>
          <w:kern w:val="2"/>
          <w:sz w:val="28"/>
          <w:szCs w:val="28"/>
          <w:lang w:val="en-US" w:eastAsia="zh-TW"/>
        </w:rPr>
      </w:pPr>
      <w:r w:rsidRPr="002F717E">
        <w:rPr>
          <w:rFonts w:ascii="Arial" w:eastAsia="宋体" w:hAnsi="Arial" w:cs="Arial" w:hint="eastAsia"/>
          <w:b/>
          <w:color w:val="000000"/>
          <w:kern w:val="2"/>
          <w:sz w:val="28"/>
          <w:szCs w:val="28"/>
          <w:lang w:val="en-US" w:eastAsia="zh-TW"/>
        </w:rPr>
        <w:t>淨利潤增長</w:t>
      </w:r>
      <w:r w:rsidRPr="002F717E">
        <w:rPr>
          <w:rFonts w:ascii="Arial" w:eastAsia="宋体" w:hAnsi="Arial" w:cs="Arial"/>
          <w:b/>
          <w:color w:val="000000"/>
          <w:kern w:val="2"/>
          <w:sz w:val="28"/>
          <w:szCs w:val="28"/>
          <w:lang w:val="en-US" w:eastAsia="zh-TW"/>
        </w:rPr>
        <w:t>9.12%</w:t>
      </w:r>
      <w:r w:rsidRPr="002F717E">
        <w:rPr>
          <w:rFonts w:ascii="Arial" w:eastAsia="宋体" w:hAnsi="Arial" w:cs="Arial" w:hint="eastAsia"/>
          <w:b/>
          <w:color w:val="000000"/>
          <w:kern w:val="2"/>
          <w:sz w:val="28"/>
          <w:szCs w:val="28"/>
          <w:lang w:val="en-US" w:eastAsia="zh-TW"/>
        </w:rPr>
        <w:t>，資產</w:t>
      </w:r>
      <w:r w:rsidR="001A5688">
        <w:rPr>
          <w:rFonts w:ascii="Arial" w:eastAsia="宋体" w:hAnsi="Arial" w:cs="Arial" w:hint="eastAsia"/>
          <w:b/>
          <w:color w:val="000000"/>
          <w:kern w:val="2"/>
          <w:sz w:val="28"/>
          <w:szCs w:val="28"/>
          <w:lang w:val="en-US" w:eastAsia="zh-TW"/>
        </w:rPr>
        <w:t>質量</w:t>
      </w:r>
      <w:r w:rsidRPr="002F717E">
        <w:rPr>
          <w:rFonts w:ascii="Arial" w:eastAsia="宋体" w:hAnsi="Arial" w:cs="Arial" w:hint="eastAsia"/>
          <w:b/>
          <w:color w:val="000000"/>
          <w:kern w:val="2"/>
          <w:sz w:val="28"/>
          <w:szCs w:val="28"/>
          <w:lang w:val="en-US" w:eastAsia="zh-TW"/>
        </w:rPr>
        <w:t>保持穩定</w:t>
      </w:r>
    </w:p>
    <w:p w14:paraId="3315F916" w14:textId="5B052333" w:rsidR="00061E17" w:rsidRPr="009432A2" w:rsidRDefault="009432A2">
      <w:pPr>
        <w:widowControl w:val="0"/>
        <w:spacing w:after="0" w:line="240" w:lineRule="auto"/>
        <w:jc w:val="center"/>
        <w:rPr>
          <w:rFonts w:ascii="Arial" w:eastAsia="宋体" w:hAnsi="Arial" w:cs="Arial"/>
          <w:b/>
          <w:kern w:val="2"/>
          <w:sz w:val="28"/>
          <w:szCs w:val="28"/>
          <w:lang w:val="en-US" w:eastAsia="zh-TW"/>
        </w:rPr>
      </w:pPr>
      <w:r w:rsidRPr="009432A2">
        <w:rPr>
          <w:rFonts w:ascii="Arial" w:eastAsia="宋体" w:hAnsi="Arial" w:cs="Arial"/>
          <w:b/>
          <w:noProof/>
          <w:kern w:val="2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CB52AA" wp14:editId="6B1AFA0F">
                <wp:simplePos x="0" y="0"/>
                <wp:positionH relativeFrom="column">
                  <wp:posOffset>-57150</wp:posOffset>
                </wp:positionH>
                <wp:positionV relativeFrom="paragraph">
                  <wp:posOffset>173083</wp:posOffset>
                </wp:positionV>
                <wp:extent cx="2724785" cy="333375"/>
                <wp:effectExtent l="0" t="0" r="8890" b="0"/>
                <wp:wrapNone/>
                <wp:docPr id="12" name="Rectangle: Rounded Corner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78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0000"/>
                            </a:gs>
                            <a:gs pos="100000">
                              <a:srgbClr val="FF00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F0685A" id="Rectangle: Rounded Corners 12" o:spid="_x0000_s1026" style="position:absolute;margin-left:-4.5pt;margin-top:13.65pt;width:214.55pt;height:26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" fillcolor="red" stroked="f">
                <v:fill color2="#fcc" angle="45" focus="100%" type="gradient"/>
              </v:roundrect>
            </w:pict>
          </mc:Fallback>
        </mc:AlternateContent>
      </w:r>
    </w:p>
    <w:p w14:paraId="6D019F53" w14:textId="10B7293B" w:rsidR="00061E17" w:rsidRPr="002F717E" w:rsidRDefault="002F717E">
      <w:pPr>
        <w:widowControl w:val="0"/>
        <w:spacing w:after="0" w:line="240" w:lineRule="auto"/>
        <w:jc w:val="both"/>
        <w:rPr>
          <w:rFonts w:ascii="Arial" w:eastAsia="宋体" w:hAnsi="Arial" w:cs="Arial"/>
          <w:b/>
          <w:color w:val="FF0000"/>
          <w:kern w:val="2"/>
          <w:sz w:val="23"/>
          <w:szCs w:val="23"/>
          <w:lang w:val="en-US" w:eastAsia="zh-TW"/>
        </w:rPr>
      </w:pPr>
      <w:r w:rsidRPr="002F717E">
        <w:rPr>
          <w:rFonts w:ascii="Arial" w:eastAsia="宋体" w:hAnsi="Arial" w:cs="Arial"/>
          <w:b/>
          <w:kern w:val="2"/>
          <w:sz w:val="23"/>
          <w:szCs w:val="23"/>
          <w:lang w:val="en-US" w:eastAsia="zh-TW"/>
        </w:rPr>
        <w:t>2023</w:t>
      </w:r>
      <w:r w:rsidRPr="002F717E">
        <w:rPr>
          <w:rFonts w:ascii="Arial" w:eastAsia="宋体" w:hAnsi="Arial" w:cs="Arial" w:hint="eastAsia"/>
          <w:b/>
          <w:kern w:val="2"/>
          <w:sz w:val="23"/>
          <w:szCs w:val="23"/>
          <w:lang w:val="en-US" w:eastAsia="zh-TW"/>
        </w:rPr>
        <w:t>年中期業績摘要（單位：人民幣）</w:t>
      </w:r>
    </w:p>
    <w:p w14:paraId="342970E1" w14:textId="152B6877" w:rsidR="00061E17" w:rsidRPr="002F717E" w:rsidRDefault="002F717E" w:rsidP="003A69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beforeLines="50" w:before="180" w:after="0" w:line="240" w:lineRule="auto"/>
        <w:jc w:val="both"/>
        <w:rPr>
          <w:rFonts w:ascii="Arial" w:eastAsia="宋体" w:hAnsi="Arial" w:cs="Arial"/>
          <w:b/>
          <w:color w:val="000000"/>
          <w:kern w:val="2"/>
          <w:lang w:val="en-US" w:eastAsia="zh-TW"/>
        </w:rPr>
      </w:pPr>
      <w:r w:rsidRPr="002F717E">
        <w:rPr>
          <w:rFonts w:ascii="Arial" w:eastAsia="宋体" w:hAnsi="Arial" w:cs="Arial" w:hint="eastAsia"/>
          <w:b/>
          <w:color w:val="000000"/>
          <w:kern w:val="2"/>
          <w:lang w:val="en-US" w:eastAsia="zh-TW"/>
        </w:rPr>
        <w:t>經營業績穩中有進，盈利</w:t>
      </w:r>
      <w:r w:rsidR="00BA2159">
        <w:rPr>
          <w:rFonts w:ascii="Arial" w:eastAsia="宋体" w:hAnsi="Arial" w:cs="Arial" w:hint="eastAsia"/>
          <w:b/>
          <w:color w:val="000000"/>
          <w:kern w:val="2"/>
          <w:lang w:val="en-US" w:eastAsia="zh-TW"/>
        </w:rPr>
        <w:t>水平</w:t>
      </w:r>
      <w:r w:rsidRPr="002F717E">
        <w:rPr>
          <w:rFonts w:ascii="Arial" w:eastAsia="宋体" w:hAnsi="Arial" w:cs="Arial" w:hint="eastAsia"/>
          <w:b/>
          <w:color w:val="000000"/>
          <w:kern w:val="2"/>
          <w:lang w:val="en-US" w:eastAsia="zh-TW"/>
        </w:rPr>
        <w:t>維持高位</w:t>
      </w:r>
    </w:p>
    <w:p w14:paraId="78BBD8EE" w14:textId="08D10E30" w:rsidR="006F29E4" w:rsidRPr="002F717E" w:rsidRDefault="002F717E" w:rsidP="003A699D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beforeLines="50" w:before="180" w:after="0" w:line="240" w:lineRule="auto"/>
        <w:jc w:val="both"/>
        <w:rPr>
          <w:rFonts w:ascii="Arial" w:eastAsia="宋体" w:hAnsi="Arial" w:cs="Arial"/>
          <w:color w:val="000000"/>
          <w:kern w:val="2"/>
          <w:lang w:val="en-US" w:eastAsia="zh-TW"/>
        </w:rPr>
      </w:pPr>
      <w:r w:rsidRPr="002F717E">
        <w:rPr>
          <w:rFonts w:ascii="Arial" w:eastAsia="宋体" w:hAnsi="Arial" w:cs="Arial" w:hint="eastAsia"/>
          <w:color w:val="000000"/>
          <w:kern w:val="2"/>
          <w:lang w:val="en-US" w:eastAsia="zh-TW"/>
        </w:rPr>
        <w:t>歸屬</w:t>
      </w:r>
      <w:proofErr w:type="gramStart"/>
      <w:r w:rsidRPr="002F717E">
        <w:rPr>
          <w:rFonts w:ascii="Arial" w:eastAsia="宋体" w:hAnsi="Arial" w:cs="Arial" w:hint="eastAsia"/>
          <w:color w:val="000000"/>
          <w:kern w:val="2"/>
          <w:lang w:val="en-US" w:eastAsia="zh-TW"/>
        </w:rPr>
        <w:t>于</w:t>
      </w:r>
      <w:proofErr w:type="gramEnd"/>
      <w:r w:rsidRPr="002F717E">
        <w:rPr>
          <w:rFonts w:ascii="Arial" w:eastAsia="宋体" w:hAnsi="Arial" w:cs="Arial" w:hint="eastAsia"/>
          <w:color w:val="000000"/>
          <w:kern w:val="2"/>
          <w:lang w:val="en-US" w:eastAsia="zh-TW"/>
        </w:rPr>
        <w:t>本行股東的淨利潤</w:t>
      </w:r>
      <w:r w:rsidRPr="002F717E">
        <w:rPr>
          <w:rFonts w:ascii="Arial" w:eastAsia="宋体" w:hAnsi="Arial" w:cs="Arial"/>
          <w:color w:val="000000"/>
          <w:kern w:val="2"/>
          <w:lang w:val="en-US" w:eastAsia="zh-TW"/>
        </w:rPr>
        <w:t>757.52</w:t>
      </w:r>
      <w:r w:rsidRPr="002F717E">
        <w:rPr>
          <w:rFonts w:ascii="Arial" w:eastAsia="宋体" w:hAnsi="Arial" w:cs="Arial" w:hint="eastAsia"/>
          <w:color w:val="000000"/>
          <w:kern w:val="2"/>
          <w:lang w:val="en-US" w:eastAsia="zh-TW"/>
        </w:rPr>
        <w:t>億元，同比增長</w:t>
      </w:r>
      <w:r w:rsidRPr="002F717E">
        <w:rPr>
          <w:rFonts w:ascii="Arial" w:eastAsia="宋体" w:hAnsi="Arial" w:cs="Arial"/>
          <w:color w:val="000000"/>
          <w:kern w:val="2"/>
          <w:lang w:val="en-US" w:eastAsia="zh-TW"/>
        </w:rPr>
        <w:t>9.12%</w:t>
      </w:r>
      <w:r w:rsidRPr="002F717E">
        <w:rPr>
          <w:rFonts w:ascii="Arial" w:eastAsia="宋体" w:hAnsi="Arial" w:cs="Arial" w:hint="eastAsia"/>
          <w:color w:val="000000"/>
          <w:kern w:val="2"/>
          <w:lang w:val="en-US" w:eastAsia="zh-TW"/>
        </w:rPr>
        <w:t>；</w:t>
      </w:r>
    </w:p>
    <w:p w14:paraId="15BD7D23" w14:textId="5902536B" w:rsidR="00CF4670" w:rsidRPr="002F717E" w:rsidRDefault="002F717E" w:rsidP="003A699D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beforeLines="50" w:before="180" w:after="0" w:line="240" w:lineRule="auto"/>
        <w:jc w:val="both"/>
        <w:rPr>
          <w:rFonts w:ascii="Arial" w:eastAsia="宋体" w:hAnsi="Arial" w:cs="Arial"/>
          <w:color w:val="000000"/>
          <w:kern w:val="2"/>
          <w:lang w:val="en-US" w:eastAsia="zh-TW"/>
        </w:rPr>
      </w:pPr>
      <w:r w:rsidRPr="002F717E">
        <w:rPr>
          <w:rFonts w:ascii="Arial" w:eastAsia="宋体" w:hAnsi="Arial" w:cs="Arial" w:hint="eastAsia"/>
          <w:lang w:val="en-US" w:eastAsia="zh-TW"/>
        </w:rPr>
        <w:t>淨利息收入</w:t>
      </w:r>
      <w:r w:rsidRPr="002F717E">
        <w:rPr>
          <w:rFonts w:ascii="Arial" w:eastAsia="宋体" w:hAnsi="Arial" w:cs="Arial"/>
          <w:lang w:val="en-US" w:eastAsia="zh-TW"/>
        </w:rPr>
        <w:t>1,089.96</w:t>
      </w:r>
      <w:r w:rsidRPr="002F717E">
        <w:rPr>
          <w:rFonts w:ascii="Arial" w:eastAsia="宋体" w:hAnsi="Arial" w:cs="Arial" w:hint="eastAsia"/>
          <w:lang w:val="en-US" w:eastAsia="zh-TW"/>
        </w:rPr>
        <w:t>億元，同比增長</w:t>
      </w:r>
      <w:r w:rsidRPr="002F717E">
        <w:rPr>
          <w:rFonts w:ascii="Arial" w:eastAsia="宋体" w:hAnsi="Arial" w:cs="Arial"/>
          <w:lang w:val="en-US" w:eastAsia="zh-TW"/>
        </w:rPr>
        <w:t>1.21%</w:t>
      </w:r>
      <w:r w:rsidRPr="002F717E">
        <w:rPr>
          <w:rFonts w:ascii="Arial" w:eastAsia="宋体" w:hAnsi="Arial" w:cs="Arial" w:hint="eastAsia"/>
          <w:lang w:val="en-US" w:eastAsia="zh-TW"/>
        </w:rPr>
        <w:t>；</w:t>
      </w:r>
    </w:p>
    <w:p w14:paraId="0509CE8A" w14:textId="194B2406" w:rsidR="00CF4670" w:rsidRPr="00CD2272" w:rsidRDefault="002F717E" w:rsidP="003A699D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beforeLines="50" w:before="180" w:after="0" w:line="240" w:lineRule="auto"/>
        <w:jc w:val="both"/>
        <w:rPr>
          <w:rFonts w:ascii="Arial" w:eastAsia="宋体" w:hAnsi="Arial" w:cs="Arial"/>
          <w:color w:val="000000"/>
          <w:kern w:val="2"/>
          <w:lang w:val="en-US" w:eastAsia="zh-TW"/>
        </w:rPr>
      </w:pPr>
      <w:r w:rsidRPr="00CD2272">
        <w:rPr>
          <w:rFonts w:ascii="Arial" w:eastAsia="宋体" w:hAnsi="Arial" w:cs="Arial" w:hint="eastAsia"/>
          <w:color w:val="000000"/>
          <w:kern w:val="2"/>
          <w:lang w:val="en-US" w:eastAsia="zh-TW"/>
        </w:rPr>
        <w:t>營業淨收入</w:t>
      </w:r>
      <w:r w:rsidRPr="00CD2272">
        <w:rPr>
          <w:rFonts w:ascii="Arial" w:eastAsia="宋体" w:hAnsi="Arial" w:cs="Arial"/>
          <w:color w:val="000000"/>
          <w:kern w:val="2"/>
          <w:lang w:val="en-US" w:eastAsia="zh-TW"/>
        </w:rPr>
        <w:t>1,784.65</w:t>
      </w:r>
      <w:r w:rsidRPr="00CD2272">
        <w:rPr>
          <w:rFonts w:ascii="Arial" w:eastAsia="宋体" w:hAnsi="Arial" w:cs="Arial" w:hint="eastAsia"/>
          <w:color w:val="000000"/>
          <w:kern w:val="2"/>
          <w:lang w:val="en-US" w:eastAsia="zh-TW"/>
        </w:rPr>
        <w:t>億元，</w:t>
      </w:r>
      <w:proofErr w:type="gramStart"/>
      <w:r w:rsidRPr="00CD2272">
        <w:rPr>
          <w:rFonts w:ascii="Arial" w:eastAsia="宋体" w:hAnsi="Arial" w:cs="Arial" w:hint="eastAsia"/>
          <w:color w:val="000000"/>
          <w:kern w:val="2"/>
          <w:lang w:val="en-US" w:eastAsia="zh-TW"/>
        </w:rPr>
        <w:t>同比微降</w:t>
      </w:r>
      <w:proofErr w:type="gramEnd"/>
      <w:r w:rsidRPr="00CD2272">
        <w:rPr>
          <w:rFonts w:ascii="Arial" w:eastAsia="宋体" w:hAnsi="Arial" w:cs="Arial"/>
          <w:color w:val="000000"/>
          <w:kern w:val="2"/>
          <w:lang w:val="en-US" w:eastAsia="zh-TW"/>
        </w:rPr>
        <w:t>0.</w:t>
      </w:r>
      <w:r w:rsidR="00CD2272" w:rsidRPr="00CD2272">
        <w:rPr>
          <w:rFonts w:ascii="Arial" w:eastAsia="宋体" w:hAnsi="Arial" w:cs="Arial"/>
          <w:color w:val="000000"/>
          <w:kern w:val="2"/>
          <w:lang w:val="en-US" w:eastAsia="zh-TW"/>
        </w:rPr>
        <w:t>34</w:t>
      </w:r>
      <w:r w:rsidRPr="00CD2272">
        <w:rPr>
          <w:rFonts w:ascii="Arial" w:eastAsia="宋体" w:hAnsi="Arial" w:cs="Arial"/>
          <w:color w:val="000000"/>
          <w:kern w:val="2"/>
          <w:lang w:val="en-US" w:eastAsia="zh-TW"/>
        </w:rPr>
        <w:t>%</w:t>
      </w:r>
      <w:proofErr w:type="gramStart"/>
      <w:r w:rsidRPr="00CD2272">
        <w:rPr>
          <w:rFonts w:ascii="Arial" w:eastAsia="宋体" w:hAnsi="Arial" w:cs="Arial" w:hint="eastAsia"/>
          <w:color w:val="000000"/>
          <w:kern w:val="2"/>
          <w:lang w:val="en-US" w:eastAsia="zh-TW"/>
        </w:rPr>
        <w:t>（</w:t>
      </w:r>
      <w:proofErr w:type="gramEnd"/>
      <w:r w:rsidRPr="00CD2272">
        <w:rPr>
          <w:rFonts w:ascii="Arial" w:eastAsia="宋体" w:hAnsi="Arial" w:cs="Arial"/>
          <w:color w:val="000000"/>
          <w:kern w:val="2"/>
          <w:lang w:val="en-US" w:eastAsia="zh-TW"/>
        </w:rPr>
        <w:t>A</w:t>
      </w:r>
      <w:r w:rsidRPr="00CD2272">
        <w:rPr>
          <w:rFonts w:ascii="Arial" w:eastAsia="宋体" w:hAnsi="Arial" w:cs="Arial" w:hint="eastAsia"/>
          <w:color w:val="000000"/>
          <w:kern w:val="2"/>
          <w:lang w:val="en-US" w:eastAsia="zh-TW"/>
        </w:rPr>
        <w:t>股：</w:t>
      </w:r>
      <w:r w:rsidRPr="00CD2272">
        <w:rPr>
          <w:rFonts w:ascii="Arial" w:eastAsia="宋体" w:hAnsi="Arial" w:cs="Arial" w:hint="eastAsia"/>
          <w:kern w:val="2"/>
          <w:lang w:val="en-US" w:eastAsia="zh-TW"/>
        </w:rPr>
        <w:t>營業收入</w:t>
      </w:r>
      <w:r w:rsidR="00CD2272" w:rsidRPr="00CD2272">
        <w:rPr>
          <w:rFonts w:ascii="Arial" w:eastAsia="宋体" w:hAnsi="Arial" w:cs="Arial"/>
          <w:kern w:val="2"/>
          <w:lang w:val="en-US" w:eastAsia="zh-TW"/>
        </w:rPr>
        <w:t>1,784.60</w:t>
      </w:r>
      <w:r w:rsidRPr="00CD2272">
        <w:rPr>
          <w:rFonts w:ascii="Arial" w:eastAsia="宋体" w:hAnsi="Arial" w:cs="Arial" w:hint="eastAsia"/>
          <w:kern w:val="2"/>
          <w:lang w:val="en-US" w:eastAsia="zh-TW"/>
        </w:rPr>
        <w:t>億元，同比減少</w:t>
      </w:r>
      <w:r w:rsidRPr="00CD2272">
        <w:rPr>
          <w:rFonts w:ascii="Arial" w:eastAsia="宋体" w:hAnsi="Arial" w:cs="Arial"/>
          <w:kern w:val="2"/>
          <w:lang w:val="en-US" w:eastAsia="zh-TW"/>
        </w:rPr>
        <w:t>0.</w:t>
      </w:r>
      <w:r w:rsidR="00CD2272" w:rsidRPr="00CD2272">
        <w:rPr>
          <w:rFonts w:ascii="Arial" w:eastAsia="宋体" w:hAnsi="Arial" w:cs="Arial"/>
          <w:kern w:val="2"/>
          <w:lang w:val="en-US" w:eastAsia="zh-TW"/>
        </w:rPr>
        <w:t>35</w:t>
      </w:r>
      <w:r w:rsidRPr="00CD2272">
        <w:rPr>
          <w:rFonts w:ascii="Arial" w:eastAsia="宋体" w:hAnsi="Arial" w:cs="Arial"/>
          <w:kern w:val="2"/>
          <w:lang w:val="en-US" w:eastAsia="zh-TW"/>
        </w:rPr>
        <w:t>%</w:t>
      </w:r>
      <w:proofErr w:type="gramStart"/>
      <w:r w:rsidRPr="00CD2272">
        <w:rPr>
          <w:rFonts w:ascii="Arial" w:eastAsia="宋体" w:hAnsi="Arial" w:cs="Arial" w:hint="eastAsia"/>
          <w:color w:val="000000"/>
          <w:kern w:val="2"/>
          <w:lang w:val="en-US" w:eastAsia="zh-TW"/>
        </w:rPr>
        <w:t>）</w:t>
      </w:r>
      <w:proofErr w:type="gramEnd"/>
      <w:r w:rsidRPr="00CD2272">
        <w:rPr>
          <w:rFonts w:ascii="Arial" w:eastAsia="宋体" w:hAnsi="Arial" w:cs="Arial" w:hint="eastAsia"/>
          <w:color w:val="000000"/>
          <w:kern w:val="2"/>
          <w:lang w:val="en-US" w:eastAsia="zh-TW"/>
        </w:rPr>
        <w:t>；</w:t>
      </w:r>
    </w:p>
    <w:p w14:paraId="560FCE10" w14:textId="31CBB654" w:rsidR="00CF4670" w:rsidRPr="002F717E" w:rsidRDefault="002F717E" w:rsidP="003A699D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beforeLines="50" w:before="180" w:after="0" w:line="240" w:lineRule="auto"/>
        <w:jc w:val="both"/>
        <w:rPr>
          <w:rFonts w:ascii="Arial" w:eastAsia="宋体" w:hAnsi="Arial" w:cs="Arial"/>
          <w:color w:val="000000"/>
          <w:kern w:val="2"/>
          <w:lang w:val="en-US" w:eastAsia="zh-TW"/>
        </w:rPr>
      </w:pPr>
      <w:r w:rsidRPr="002F717E">
        <w:rPr>
          <w:rFonts w:ascii="Arial" w:eastAsia="宋体" w:hAnsi="Arial" w:cs="Arial"/>
          <w:color w:val="000000"/>
          <w:kern w:val="2"/>
          <w:lang w:val="en-US" w:eastAsia="zh-TW"/>
        </w:rPr>
        <w:t>ROAA</w:t>
      </w:r>
      <w:r w:rsidRPr="002F717E">
        <w:rPr>
          <w:rFonts w:ascii="Arial" w:eastAsia="宋体" w:hAnsi="Arial" w:cs="Arial" w:hint="eastAsia"/>
          <w:color w:val="000000"/>
          <w:kern w:val="2"/>
          <w:lang w:val="en-US" w:eastAsia="zh-TW"/>
        </w:rPr>
        <w:t>和</w:t>
      </w:r>
      <w:r w:rsidRPr="002F717E">
        <w:rPr>
          <w:rFonts w:ascii="Arial" w:eastAsia="宋体" w:hAnsi="Arial" w:cs="Arial"/>
          <w:color w:val="000000"/>
          <w:kern w:val="2"/>
          <w:lang w:val="en-US" w:eastAsia="zh-TW"/>
        </w:rPr>
        <w:t>ROAE</w:t>
      </w:r>
      <w:r w:rsidRPr="002F717E">
        <w:rPr>
          <w:rFonts w:ascii="Arial" w:eastAsia="宋体" w:hAnsi="Arial" w:cs="Arial" w:hint="eastAsia"/>
          <w:color w:val="000000"/>
          <w:kern w:val="2"/>
          <w:lang w:val="en-US" w:eastAsia="zh-TW"/>
        </w:rPr>
        <w:t>分別為</w:t>
      </w:r>
      <w:r w:rsidRPr="002F717E">
        <w:rPr>
          <w:rFonts w:ascii="Arial" w:eastAsia="宋体" w:hAnsi="Arial" w:cs="Arial"/>
          <w:color w:val="000000"/>
          <w:kern w:val="2"/>
          <w:lang w:val="en-US" w:eastAsia="zh-TW"/>
        </w:rPr>
        <w:t>1.45%</w:t>
      </w:r>
      <w:r w:rsidRPr="002F717E">
        <w:rPr>
          <w:rFonts w:ascii="Arial" w:eastAsia="宋体" w:hAnsi="Arial" w:cs="Arial" w:hint="eastAsia"/>
          <w:color w:val="000000"/>
          <w:kern w:val="2"/>
          <w:lang w:val="en-US" w:eastAsia="zh-TW"/>
        </w:rPr>
        <w:t>和</w:t>
      </w:r>
      <w:r w:rsidRPr="002F717E">
        <w:rPr>
          <w:rFonts w:ascii="Arial" w:eastAsia="宋体" w:hAnsi="Arial" w:cs="Arial"/>
          <w:color w:val="000000"/>
          <w:kern w:val="2"/>
          <w:lang w:val="en-US" w:eastAsia="zh-TW"/>
        </w:rPr>
        <w:t>17.55%</w:t>
      </w:r>
      <w:r w:rsidRPr="002F717E">
        <w:rPr>
          <w:rFonts w:ascii="Arial" w:eastAsia="宋体" w:hAnsi="Arial" w:cs="Arial" w:hint="eastAsia"/>
          <w:color w:val="000000"/>
          <w:kern w:val="2"/>
          <w:lang w:val="en-US" w:eastAsia="zh-TW"/>
        </w:rPr>
        <w:t>，同比分別降</w:t>
      </w:r>
      <w:r w:rsidRPr="002F717E">
        <w:rPr>
          <w:rFonts w:ascii="Arial" w:eastAsia="宋体" w:hAnsi="Arial" w:cs="Arial"/>
          <w:color w:val="000000"/>
          <w:kern w:val="2"/>
          <w:lang w:val="en-US" w:eastAsia="zh-TW"/>
        </w:rPr>
        <w:t>0.01</w:t>
      </w:r>
      <w:r w:rsidRPr="002F717E">
        <w:rPr>
          <w:rFonts w:ascii="Arial" w:eastAsia="宋体" w:hAnsi="Arial" w:cs="Arial" w:hint="eastAsia"/>
          <w:color w:val="000000"/>
          <w:kern w:val="2"/>
          <w:lang w:val="en-US" w:eastAsia="zh-TW"/>
        </w:rPr>
        <w:t>和</w:t>
      </w:r>
      <w:r w:rsidRPr="002F717E">
        <w:rPr>
          <w:rFonts w:ascii="Arial" w:eastAsia="宋体" w:hAnsi="Arial" w:cs="Arial"/>
          <w:color w:val="000000"/>
          <w:kern w:val="2"/>
          <w:lang w:val="en-US" w:eastAsia="zh-TW"/>
        </w:rPr>
        <w:t>0.52</w:t>
      </w:r>
      <w:r w:rsidRPr="002F717E">
        <w:rPr>
          <w:rFonts w:ascii="Arial" w:eastAsia="宋体" w:hAnsi="Arial" w:cs="Arial" w:hint="eastAsia"/>
          <w:color w:val="000000"/>
          <w:kern w:val="2"/>
          <w:lang w:val="en-US" w:eastAsia="zh-TW"/>
        </w:rPr>
        <w:t>個百分點，維持高位。</w:t>
      </w:r>
    </w:p>
    <w:p w14:paraId="44A727E3" w14:textId="7F4B6D21" w:rsidR="00CF4670" w:rsidRPr="002F717E" w:rsidRDefault="002F717E" w:rsidP="003A69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beforeLines="50" w:before="180" w:after="0" w:line="240" w:lineRule="auto"/>
        <w:jc w:val="both"/>
        <w:rPr>
          <w:rFonts w:ascii="Arial" w:eastAsia="宋体" w:hAnsi="Arial" w:cs="Arial"/>
          <w:b/>
          <w:color w:val="000000"/>
          <w:kern w:val="2"/>
          <w:lang w:val="en-US" w:eastAsia="zh-TW"/>
        </w:rPr>
      </w:pPr>
      <w:r w:rsidRPr="002F717E">
        <w:rPr>
          <w:rFonts w:ascii="Arial" w:eastAsia="宋体" w:hAnsi="Arial" w:cs="Arial" w:hint="eastAsia"/>
          <w:b/>
          <w:color w:val="000000"/>
          <w:kern w:val="2"/>
          <w:lang w:val="en-US" w:eastAsia="zh-TW"/>
        </w:rPr>
        <w:t>資產</w:t>
      </w:r>
      <w:r w:rsidR="00BA2159">
        <w:rPr>
          <w:rFonts w:ascii="Arial" w:eastAsia="宋体" w:hAnsi="Arial" w:cs="Arial" w:hint="eastAsia"/>
          <w:b/>
          <w:color w:val="000000"/>
          <w:kern w:val="2"/>
          <w:lang w:val="en-US" w:eastAsia="zh-TW"/>
        </w:rPr>
        <w:t>質量</w:t>
      </w:r>
      <w:r w:rsidRPr="002F717E">
        <w:rPr>
          <w:rFonts w:ascii="Arial" w:eastAsia="宋体" w:hAnsi="Arial" w:cs="Arial" w:hint="eastAsia"/>
          <w:b/>
          <w:color w:val="000000"/>
          <w:kern w:val="2"/>
          <w:lang w:val="en-US" w:eastAsia="zh-TW"/>
        </w:rPr>
        <w:t>保持穩定，風險抵補能力強健</w:t>
      </w:r>
    </w:p>
    <w:p w14:paraId="5BB21943" w14:textId="12E1906B" w:rsidR="00CF4670" w:rsidRPr="002F717E" w:rsidRDefault="002F717E" w:rsidP="003A699D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beforeLines="50" w:before="180" w:after="0" w:line="240" w:lineRule="auto"/>
        <w:jc w:val="both"/>
        <w:rPr>
          <w:rFonts w:ascii="Arial" w:eastAsia="宋体" w:hAnsi="Arial" w:cs="Arial"/>
          <w:color w:val="000000"/>
          <w:kern w:val="2"/>
          <w:lang w:val="en-US" w:eastAsia="zh-TW"/>
        </w:rPr>
      </w:pPr>
      <w:r w:rsidRPr="002F717E">
        <w:rPr>
          <w:rFonts w:ascii="Arial" w:eastAsia="宋体" w:hAnsi="Arial" w:cs="Arial" w:hint="eastAsia"/>
          <w:lang w:val="en-US" w:eastAsia="zh-TW"/>
        </w:rPr>
        <w:t>不良貸款率</w:t>
      </w:r>
      <w:r w:rsidRPr="002F717E">
        <w:rPr>
          <w:rFonts w:ascii="Arial" w:eastAsia="宋体" w:hAnsi="Arial" w:cs="Arial"/>
          <w:lang w:val="en-US" w:eastAsia="zh-TW"/>
        </w:rPr>
        <w:t>0.95%</w:t>
      </w:r>
      <w:r w:rsidRPr="002F717E">
        <w:rPr>
          <w:rFonts w:ascii="Arial" w:eastAsia="宋体" w:hAnsi="Arial" w:cs="Arial" w:hint="eastAsia"/>
          <w:lang w:val="en-US" w:eastAsia="zh-TW"/>
        </w:rPr>
        <w:t>，較上年末下降</w:t>
      </w:r>
      <w:r w:rsidRPr="002F717E">
        <w:rPr>
          <w:rFonts w:ascii="Arial" w:eastAsia="宋体" w:hAnsi="Arial" w:cs="Arial"/>
          <w:lang w:val="en-US" w:eastAsia="zh-TW"/>
        </w:rPr>
        <w:t>0.01</w:t>
      </w:r>
      <w:r w:rsidRPr="002F717E">
        <w:rPr>
          <w:rFonts w:ascii="Arial" w:eastAsia="宋体" w:hAnsi="Arial" w:cs="Arial" w:hint="eastAsia"/>
          <w:lang w:val="en-US" w:eastAsia="zh-TW"/>
        </w:rPr>
        <w:t>個百分點，保持在較低</w:t>
      </w:r>
      <w:r w:rsidR="00BA2159">
        <w:rPr>
          <w:rFonts w:ascii="Arial" w:eastAsia="宋体" w:hAnsi="Arial" w:cs="Arial" w:hint="eastAsia"/>
          <w:lang w:val="en-US" w:eastAsia="zh-TW"/>
        </w:rPr>
        <w:t>水平</w:t>
      </w:r>
      <w:r w:rsidRPr="002F717E">
        <w:rPr>
          <w:rFonts w:ascii="Arial" w:eastAsia="宋体" w:hAnsi="Arial" w:cs="Arial" w:hint="eastAsia"/>
          <w:lang w:val="en-US" w:eastAsia="zh-TW"/>
        </w:rPr>
        <w:t>；</w:t>
      </w:r>
    </w:p>
    <w:p w14:paraId="2A12307A" w14:textId="1D35D652" w:rsidR="00CF4670" w:rsidRPr="002F717E" w:rsidRDefault="002F717E" w:rsidP="003A699D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beforeLines="50" w:before="180" w:after="0" w:line="240" w:lineRule="auto"/>
        <w:jc w:val="both"/>
        <w:rPr>
          <w:rFonts w:ascii="Arial" w:eastAsia="宋体" w:hAnsi="Arial" w:cs="Arial"/>
          <w:color w:val="000000"/>
          <w:kern w:val="2"/>
          <w:lang w:val="en-US" w:eastAsia="zh-TW"/>
        </w:rPr>
      </w:pPr>
      <w:r w:rsidRPr="002F717E">
        <w:rPr>
          <w:rFonts w:ascii="Arial" w:eastAsia="宋体" w:hAnsi="Arial" w:cs="Arial" w:hint="eastAsia"/>
          <w:lang w:val="en-US" w:eastAsia="zh-TW"/>
        </w:rPr>
        <w:t>撥備覆蓋率</w:t>
      </w:r>
      <w:r w:rsidRPr="002F717E">
        <w:rPr>
          <w:rFonts w:ascii="Arial" w:eastAsia="宋体" w:hAnsi="Arial" w:cs="Arial"/>
          <w:lang w:val="en-US" w:eastAsia="zh-TW"/>
        </w:rPr>
        <w:t>447.63%</w:t>
      </w:r>
      <w:r w:rsidRPr="002F717E">
        <w:rPr>
          <w:rFonts w:ascii="Arial" w:eastAsia="宋体" w:hAnsi="Arial" w:cs="Arial" w:hint="eastAsia"/>
          <w:lang w:val="en-US" w:eastAsia="zh-TW"/>
        </w:rPr>
        <w:t>，較上年末下降</w:t>
      </w:r>
      <w:r w:rsidRPr="002F717E">
        <w:rPr>
          <w:rFonts w:ascii="Arial" w:eastAsia="宋体" w:hAnsi="Arial" w:cs="Arial"/>
          <w:lang w:val="en-US" w:eastAsia="zh-TW"/>
        </w:rPr>
        <w:t>3.16</w:t>
      </w:r>
      <w:r w:rsidRPr="002F717E">
        <w:rPr>
          <w:rFonts w:ascii="Arial" w:eastAsia="宋体" w:hAnsi="Arial" w:cs="Arial" w:hint="eastAsia"/>
          <w:lang w:val="en-US" w:eastAsia="zh-TW"/>
        </w:rPr>
        <w:t>個百分點；貸款撥備率</w:t>
      </w:r>
      <w:r w:rsidRPr="002F717E">
        <w:rPr>
          <w:rFonts w:ascii="Arial" w:eastAsia="宋体" w:hAnsi="Arial" w:cs="Arial"/>
          <w:lang w:val="en-US" w:eastAsia="zh-TW"/>
        </w:rPr>
        <w:t>4.27%</w:t>
      </w:r>
      <w:r w:rsidRPr="002F717E">
        <w:rPr>
          <w:rFonts w:ascii="Arial" w:eastAsia="宋体" w:hAnsi="Arial" w:cs="Arial" w:hint="eastAsia"/>
          <w:lang w:val="en-US" w:eastAsia="zh-TW"/>
        </w:rPr>
        <w:t>，較上年末下降</w:t>
      </w:r>
      <w:r w:rsidRPr="002F717E">
        <w:rPr>
          <w:rFonts w:ascii="Arial" w:eastAsia="宋体" w:hAnsi="Arial" w:cs="Arial"/>
          <w:lang w:val="en-US" w:eastAsia="zh-TW"/>
        </w:rPr>
        <w:t>0.05</w:t>
      </w:r>
      <w:r w:rsidRPr="002F717E">
        <w:rPr>
          <w:rFonts w:ascii="Arial" w:eastAsia="宋体" w:hAnsi="Arial" w:cs="Arial" w:hint="eastAsia"/>
          <w:lang w:val="en-US" w:eastAsia="zh-TW"/>
        </w:rPr>
        <w:t>個百分點，仍保持高位。</w:t>
      </w:r>
    </w:p>
    <w:p w14:paraId="0644DF46" w14:textId="356BC3BC" w:rsidR="00AB35A9" w:rsidRPr="002F717E" w:rsidRDefault="002F717E" w:rsidP="003A69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beforeLines="50" w:before="180" w:after="0" w:line="240" w:lineRule="auto"/>
        <w:jc w:val="both"/>
        <w:rPr>
          <w:rFonts w:ascii="Arial" w:eastAsia="宋体" w:hAnsi="Arial" w:cs="Arial"/>
          <w:b/>
          <w:color w:val="000000"/>
          <w:kern w:val="2"/>
          <w:lang w:val="en-US" w:eastAsia="zh-TW"/>
        </w:rPr>
      </w:pPr>
      <w:r w:rsidRPr="002F717E">
        <w:rPr>
          <w:rFonts w:ascii="Arial" w:eastAsia="宋体" w:hAnsi="Arial" w:cs="Arial" w:hint="eastAsia"/>
          <w:b/>
          <w:color w:val="000000"/>
          <w:kern w:val="2"/>
          <w:lang w:val="en-US" w:eastAsia="zh-TW"/>
        </w:rPr>
        <w:t>資產組織扎實開展，負債優勢繼續保持</w:t>
      </w:r>
    </w:p>
    <w:p w14:paraId="426B28CF" w14:textId="69FD37A6" w:rsidR="00AB35A9" w:rsidRPr="002F717E" w:rsidRDefault="002F717E" w:rsidP="003A699D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beforeLines="50" w:before="180" w:after="0" w:line="240" w:lineRule="auto"/>
        <w:jc w:val="both"/>
        <w:rPr>
          <w:rFonts w:ascii="Arial" w:eastAsia="宋体" w:hAnsi="Arial" w:cs="Arial"/>
          <w:lang w:val="en-US" w:eastAsia="zh-TW"/>
        </w:rPr>
      </w:pPr>
      <w:r w:rsidRPr="002F717E">
        <w:rPr>
          <w:rFonts w:ascii="Arial" w:eastAsia="宋体" w:hAnsi="Arial" w:cs="Arial" w:hint="eastAsia"/>
          <w:lang w:val="en-US" w:eastAsia="zh-TW"/>
        </w:rPr>
        <w:t>資產總額</w:t>
      </w:r>
      <w:r w:rsidRPr="002F717E">
        <w:rPr>
          <w:rFonts w:ascii="Arial" w:eastAsia="宋体" w:hAnsi="Arial" w:cs="Arial"/>
          <w:lang w:val="en-US" w:eastAsia="zh-TW"/>
        </w:rPr>
        <w:t>10.74</w:t>
      </w:r>
      <w:r w:rsidRPr="002F717E">
        <w:rPr>
          <w:rFonts w:ascii="Arial" w:eastAsia="宋体" w:hAnsi="Arial" w:cs="Arial" w:hint="eastAsia"/>
          <w:lang w:val="en-US" w:eastAsia="zh-TW"/>
        </w:rPr>
        <w:t>萬億元，較上年末增長</w:t>
      </w:r>
      <w:r w:rsidRPr="002F717E">
        <w:rPr>
          <w:rFonts w:ascii="Arial" w:eastAsia="宋体" w:hAnsi="Arial" w:cs="Arial"/>
          <w:lang w:val="en-US" w:eastAsia="zh-TW"/>
        </w:rPr>
        <w:t>5.93%</w:t>
      </w:r>
      <w:r w:rsidRPr="002F717E">
        <w:rPr>
          <w:rFonts w:ascii="Arial" w:eastAsia="宋体" w:hAnsi="Arial" w:cs="Arial" w:hint="eastAsia"/>
          <w:lang w:val="en-US" w:eastAsia="zh-TW"/>
        </w:rPr>
        <w:t>；貸款和墊款總額</w:t>
      </w:r>
      <w:r w:rsidRPr="002F717E">
        <w:rPr>
          <w:rFonts w:ascii="Arial" w:eastAsia="宋体" w:hAnsi="Arial" w:cs="Arial"/>
          <w:lang w:val="en-US" w:eastAsia="zh-TW"/>
        </w:rPr>
        <w:t>6.36</w:t>
      </w:r>
      <w:r w:rsidRPr="002F717E">
        <w:rPr>
          <w:rFonts w:ascii="Arial" w:eastAsia="宋体" w:hAnsi="Arial" w:cs="Arial" w:hint="eastAsia"/>
          <w:lang w:val="en-US" w:eastAsia="zh-TW"/>
        </w:rPr>
        <w:t>萬億元，較上年末增長</w:t>
      </w:r>
      <w:r w:rsidRPr="002F717E">
        <w:rPr>
          <w:rFonts w:ascii="Arial" w:eastAsia="宋体" w:hAnsi="Arial" w:cs="Arial"/>
          <w:lang w:val="en-US" w:eastAsia="zh-TW"/>
        </w:rPr>
        <w:t>5.02%</w:t>
      </w:r>
      <w:r w:rsidRPr="002F717E">
        <w:rPr>
          <w:rFonts w:ascii="Arial" w:eastAsia="宋体" w:hAnsi="Arial" w:cs="Arial" w:hint="eastAsia"/>
          <w:lang w:val="en-US" w:eastAsia="zh-TW"/>
        </w:rPr>
        <w:t>；債券投資總額</w:t>
      </w:r>
      <w:r w:rsidRPr="002F717E">
        <w:rPr>
          <w:rFonts w:ascii="Arial" w:eastAsia="宋体" w:hAnsi="Arial" w:cs="Arial"/>
          <w:lang w:val="en-US" w:eastAsia="zh-TW"/>
        </w:rPr>
        <w:t>2.67</w:t>
      </w:r>
      <w:r w:rsidRPr="002F717E">
        <w:rPr>
          <w:rFonts w:ascii="Arial" w:eastAsia="宋体" w:hAnsi="Arial" w:cs="Arial" w:hint="eastAsia"/>
          <w:lang w:val="en-US" w:eastAsia="zh-TW"/>
        </w:rPr>
        <w:t>萬億元，較上年末增長</w:t>
      </w:r>
      <w:r w:rsidRPr="002F717E">
        <w:rPr>
          <w:rFonts w:ascii="Arial" w:eastAsia="宋体" w:hAnsi="Arial" w:cs="Arial"/>
          <w:lang w:val="en-US" w:eastAsia="zh-TW"/>
        </w:rPr>
        <w:t>9.62%</w:t>
      </w:r>
      <w:r w:rsidRPr="002F717E">
        <w:rPr>
          <w:rFonts w:ascii="Arial" w:eastAsia="宋体" w:hAnsi="Arial" w:cs="Arial" w:hint="eastAsia"/>
          <w:lang w:val="en-US" w:eastAsia="zh-TW"/>
        </w:rPr>
        <w:t>；</w:t>
      </w:r>
    </w:p>
    <w:p w14:paraId="17366EF5" w14:textId="0486BFDB" w:rsidR="00AB35A9" w:rsidRPr="002F717E" w:rsidRDefault="002F717E" w:rsidP="003A699D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beforeLines="50" w:before="180" w:after="0" w:line="240" w:lineRule="auto"/>
        <w:jc w:val="both"/>
        <w:rPr>
          <w:rFonts w:ascii="Arial" w:eastAsia="宋体" w:hAnsi="Arial" w:cs="Arial"/>
          <w:lang w:val="en-US" w:eastAsia="zh-TW"/>
        </w:rPr>
      </w:pPr>
      <w:r w:rsidRPr="002F717E">
        <w:rPr>
          <w:rFonts w:ascii="Arial" w:eastAsia="宋体" w:hAnsi="Arial" w:cs="Arial" w:hint="eastAsia"/>
          <w:lang w:eastAsia="zh-TW"/>
        </w:rPr>
        <w:t>負債總額</w:t>
      </w:r>
      <w:r w:rsidRPr="002F717E">
        <w:rPr>
          <w:rFonts w:ascii="Arial" w:eastAsia="宋体" w:hAnsi="Arial" w:cs="Arial"/>
          <w:lang w:val="en-US" w:eastAsia="zh-TW"/>
        </w:rPr>
        <w:t>9.75</w:t>
      </w:r>
      <w:r w:rsidRPr="002F717E">
        <w:rPr>
          <w:rFonts w:ascii="Arial" w:eastAsia="宋体" w:hAnsi="Arial" w:cs="Arial" w:hint="eastAsia"/>
          <w:lang w:eastAsia="zh-TW"/>
        </w:rPr>
        <w:t>萬億元</w:t>
      </w:r>
      <w:r w:rsidRPr="005D2EAE">
        <w:rPr>
          <w:rFonts w:ascii="Arial" w:eastAsia="宋体" w:hAnsi="Arial" w:cs="Arial" w:hint="eastAsia"/>
          <w:lang w:val="en-US" w:eastAsia="zh-TW"/>
        </w:rPr>
        <w:t>，</w:t>
      </w:r>
      <w:r w:rsidRPr="002F717E">
        <w:rPr>
          <w:rFonts w:ascii="Arial" w:eastAsia="宋体" w:hAnsi="Arial" w:cs="Arial" w:hint="eastAsia"/>
          <w:lang w:eastAsia="zh-TW"/>
        </w:rPr>
        <w:t>較上年末增長</w:t>
      </w:r>
      <w:r w:rsidRPr="002F717E">
        <w:rPr>
          <w:rFonts w:ascii="Arial" w:eastAsia="宋体" w:hAnsi="Arial" w:cs="Arial"/>
          <w:lang w:val="en-US" w:eastAsia="zh-TW"/>
        </w:rPr>
        <w:t>6.20%</w:t>
      </w:r>
      <w:r w:rsidRPr="005D2EAE">
        <w:rPr>
          <w:rFonts w:ascii="Arial" w:eastAsia="宋体" w:hAnsi="Arial" w:cs="Arial" w:hint="eastAsia"/>
          <w:lang w:val="en-US" w:eastAsia="zh-TW"/>
        </w:rPr>
        <w:t>；</w:t>
      </w:r>
      <w:r w:rsidRPr="002F717E">
        <w:rPr>
          <w:rFonts w:ascii="Arial" w:eastAsia="宋体" w:hAnsi="Arial" w:cs="Arial" w:hint="eastAsia"/>
          <w:lang w:eastAsia="zh-TW"/>
        </w:rPr>
        <w:t>客戶存款總額</w:t>
      </w:r>
      <w:r w:rsidRPr="005D2EAE">
        <w:rPr>
          <w:rFonts w:ascii="Arial" w:eastAsia="宋体" w:hAnsi="Arial" w:cs="Arial"/>
          <w:lang w:val="en-US" w:eastAsia="zh-TW"/>
        </w:rPr>
        <w:t>8.03</w:t>
      </w:r>
      <w:r w:rsidRPr="002F717E">
        <w:rPr>
          <w:rFonts w:ascii="Arial" w:eastAsia="宋体" w:hAnsi="Arial" w:cs="Arial" w:hint="eastAsia"/>
          <w:lang w:eastAsia="zh-TW"/>
        </w:rPr>
        <w:t>萬億元</w:t>
      </w:r>
      <w:r w:rsidRPr="005D2EAE">
        <w:rPr>
          <w:rFonts w:ascii="Arial" w:eastAsia="宋体" w:hAnsi="Arial" w:cs="Arial" w:hint="eastAsia"/>
          <w:lang w:val="en-US" w:eastAsia="zh-TW"/>
        </w:rPr>
        <w:t>，</w:t>
      </w:r>
      <w:r w:rsidRPr="002F717E">
        <w:rPr>
          <w:rFonts w:ascii="Arial" w:eastAsia="宋体" w:hAnsi="Arial" w:cs="Arial" w:hint="eastAsia"/>
          <w:lang w:val="en-US" w:eastAsia="zh-TW"/>
        </w:rPr>
        <w:t>較上年末</w:t>
      </w:r>
      <w:r w:rsidRPr="002F717E">
        <w:rPr>
          <w:rFonts w:ascii="Arial" w:eastAsia="宋体" w:hAnsi="Arial" w:cs="Arial" w:hint="eastAsia"/>
          <w:lang w:eastAsia="zh-TW"/>
        </w:rPr>
        <w:t>增長</w:t>
      </w:r>
      <w:r w:rsidRPr="002F717E">
        <w:rPr>
          <w:rFonts w:ascii="Arial" w:eastAsia="宋体" w:hAnsi="Arial" w:cs="Arial"/>
          <w:lang w:val="en-US" w:eastAsia="zh-TW"/>
        </w:rPr>
        <w:t>6.56%</w:t>
      </w:r>
      <w:r w:rsidRPr="002F717E">
        <w:rPr>
          <w:rFonts w:ascii="Arial" w:eastAsia="宋体" w:hAnsi="Arial" w:cs="Arial" w:hint="eastAsia"/>
          <w:lang w:val="en-US" w:eastAsia="zh-TW"/>
        </w:rPr>
        <w:t>；核心存款日均餘額</w:t>
      </w:r>
      <w:r w:rsidRPr="002F717E">
        <w:rPr>
          <w:rFonts w:ascii="Arial" w:eastAsia="宋体" w:hAnsi="Arial" w:cs="Arial"/>
          <w:lang w:val="en-US" w:eastAsia="zh-TW"/>
        </w:rPr>
        <w:t>6.56</w:t>
      </w:r>
      <w:r w:rsidRPr="002F717E">
        <w:rPr>
          <w:rFonts w:ascii="Arial" w:eastAsia="宋体" w:hAnsi="Arial" w:cs="Arial" w:hint="eastAsia"/>
          <w:lang w:val="en-US" w:eastAsia="zh-TW"/>
        </w:rPr>
        <w:t>萬億元，較上年末增長</w:t>
      </w:r>
      <w:r w:rsidRPr="002F717E">
        <w:rPr>
          <w:rFonts w:ascii="Arial" w:eastAsia="宋体" w:hAnsi="Arial" w:cs="Arial"/>
          <w:lang w:val="en-US" w:eastAsia="zh-TW"/>
        </w:rPr>
        <w:t>12.00%</w:t>
      </w:r>
      <w:r w:rsidRPr="002F717E">
        <w:rPr>
          <w:rFonts w:ascii="Arial" w:eastAsia="宋体" w:hAnsi="Arial" w:cs="Arial" w:hint="eastAsia"/>
          <w:lang w:val="en-US" w:eastAsia="zh-TW"/>
        </w:rPr>
        <w:t>。</w:t>
      </w:r>
    </w:p>
    <w:p w14:paraId="7C2F32EB" w14:textId="407AF526" w:rsidR="00061E17" w:rsidRPr="002F717E" w:rsidRDefault="002F717E" w:rsidP="003A69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beforeLines="50" w:before="180" w:after="0" w:line="240" w:lineRule="auto"/>
        <w:jc w:val="both"/>
        <w:rPr>
          <w:rFonts w:ascii="Arial" w:eastAsia="宋体" w:hAnsi="Arial" w:cs="Arial"/>
          <w:b/>
          <w:color w:val="000000"/>
          <w:kern w:val="2"/>
          <w:highlight w:val="yellow"/>
          <w:lang w:val="en-HK" w:eastAsia="zh-TW"/>
        </w:rPr>
      </w:pPr>
      <w:r w:rsidRPr="002F717E">
        <w:rPr>
          <w:rFonts w:ascii="Arial" w:eastAsia="宋体" w:hAnsi="Arial" w:cs="Arial" w:hint="eastAsia"/>
          <w:b/>
          <w:lang w:val="en-US" w:eastAsia="zh-TW"/>
        </w:rPr>
        <w:t>業務結構持續優化，</w:t>
      </w:r>
      <w:proofErr w:type="gramStart"/>
      <w:r w:rsidRPr="002F717E">
        <w:rPr>
          <w:rFonts w:ascii="Arial" w:eastAsia="宋体" w:hAnsi="Arial" w:cs="Arial" w:hint="eastAsia"/>
          <w:b/>
          <w:lang w:val="en-US" w:eastAsia="zh-TW"/>
        </w:rPr>
        <w:t>非息收入</w:t>
      </w:r>
      <w:proofErr w:type="gramEnd"/>
      <w:r w:rsidRPr="002F717E">
        <w:rPr>
          <w:rFonts w:ascii="Arial" w:eastAsia="宋体" w:hAnsi="Arial" w:cs="Arial" w:hint="eastAsia"/>
          <w:b/>
          <w:lang w:val="en-US" w:eastAsia="zh-TW"/>
        </w:rPr>
        <w:t>保持韌性</w:t>
      </w:r>
    </w:p>
    <w:p w14:paraId="39C1500A" w14:textId="19278AAE" w:rsidR="00061E17" w:rsidRPr="002F717E" w:rsidRDefault="002F717E" w:rsidP="003A699D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beforeLines="50" w:before="180" w:after="0" w:line="240" w:lineRule="auto"/>
        <w:jc w:val="both"/>
        <w:rPr>
          <w:rFonts w:ascii="Arial" w:eastAsia="宋体" w:hAnsi="Arial" w:cs="Arial"/>
          <w:kern w:val="2"/>
          <w:lang w:val="en-US" w:eastAsia="zh-TW"/>
        </w:rPr>
      </w:pPr>
      <w:r w:rsidRPr="002F717E">
        <w:rPr>
          <w:rFonts w:ascii="Arial" w:eastAsia="宋体" w:hAnsi="Arial" w:cs="Arial" w:hint="eastAsia"/>
          <w:color w:val="000000"/>
          <w:lang w:val="en-US" w:eastAsia="zh-TW"/>
        </w:rPr>
        <w:t>零售金融</w:t>
      </w:r>
      <w:r w:rsidR="009A3D07" w:rsidRPr="009A3D07">
        <w:rPr>
          <w:rFonts w:ascii="Arial" w:eastAsia="宋体" w:hAnsi="Arial" w:cs="Arial" w:hint="eastAsia"/>
          <w:color w:val="000000"/>
          <w:lang w:val="en-US" w:eastAsia="zh-TW"/>
        </w:rPr>
        <w:t>業務稅前利潤</w:t>
      </w:r>
      <w:r w:rsidR="009A3D07" w:rsidRPr="009A3D07">
        <w:rPr>
          <w:rFonts w:ascii="Arial" w:eastAsia="宋体" w:hAnsi="Arial" w:cs="Arial"/>
          <w:color w:val="000000"/>
          <w:lang w:val="en-US" w:eastAsia="zh-TW"/>
        </w:rPr>
        <w:t>517.80</w:t>
      </w:r>
      <w:r w:rsidR="009A3D07" w:rsidRPr="009A3D07">
        <w:rPr>
          <w:rFonts w:ascii="Arial" w:eastAsia="宋体" w:hAnsi="Arial" w:cs="Arial" w:hint="eastAsia"/>
          <w:color w:val="000000"/>
          <w:lang w:val="en-US" w:eastAsia="zh-TW"/>
        </w:rPr>
        <w:t>億元，同比增長</w:t>
      </w:r>
      <w:r w:rsidR="009A3D07" w:rsidRPr="009A3D07">
        <w:rPr>
          <w:rFonts w:ascii="Arial" w:eastAsia="宋体" w:hAnsi="Arial" w:cs="Arial"/>
          <w:color w:val="000000"/>
          <w:lang w:val="en-US" w:eastAsia="zh-TW"/>
        </w:rPr>
        <w:t>11.59%</w:t>
      </w:r>
      <w:r w:rsidR="009A3D07" w:rsidRPr="009A3D07">
        <w:rPr>
          <w:rFonts w:ascii="Arial" w:eastAsia="宋体" w:hAnsi="Arial" w:cs="Arial" w:hint="eastAsia"/>
          <w:color w:val="000000"/>
          <w:lang w:val="en-US" w:eastAsia="zh-TW"/>
        </w:rPr>
        <w:t>，</w:t>
      </w:r>
      <w:proofErr w:type="gramStart"/>
      <w:r w:rsidR="009A3D07" w:rsidRPr="009A3D07">
        <w:rPr>
          <w:rFonts w:ascii="Arial" w:eastAsia="宋体" w:hAnsi="Arial" w:cs="Arial" w:hint="eastAsia"/>
          <w:color w:val="000000"/>
          <w:lang w:val="en-US" w:eastAsia="zh-TW"/>
        </w:rPr>
        <w:t>占本集團</w:t>
      </w:r>
      <w:proofErr w:type="gramEnd"/>
      <w:r w:rsidR="009A3D07" w:rsidRPr="009A3D07">
        <w:rPr>
          <w:rFonts w:ascii="Arial" w:eastAsia="宋体" w:hAnsi="Arial" w:cs="Arial" w:hint="eastAsia"/>
          <w:color w:val="000000"/>
          <w:lang w:val="en-US" w:eastAsia="zh-TW"/>
        </w:rPr>
        <w:t>稅前利潤的</w:t>
      </w:r>
      <w:r w:rsidR="009A3D07" w:rsidRPr="009A3D07">
        <w:rPr>
          <w:rFonts w:ascii="Arial" w:eastAsia="宋体" w:hAnsi="Arial" w:cs="Arial"/>
          <w:color w:val="000000"/>
          <w:lang w:val="en-US" w:eastAsia="zh-TW"/>
        </w:rPr>
        <w:t>56.97%</w:t>
      </w:r>
      <w:r w:rsidR="009A3D07" w:rsidRPr="009A3D07">
        <w:rPr>
          <w:rFonts w:ascii="Arial" w:eastAsia="宋体" w:hAnsi="Arial" w:cs="Arial" w:hint="eastAsia"/>
          <w:color w:val="000000"/>
          <w:lang w:val="en-US" w:eastAsia="zh-TW"/>
        </w:rPr>
        <w:t>，同比上升</w:t>
      </w:r>
      <w:r w:rsidR="009A3D07" w:rsidRPr="009A3D07">
        <w:rPr>
          <w:rFonts w:ascii="Arial" w:eastAsia="宋体" w:hAnsi="Arial" w:cs="Arial"/>
          <w:color w:val="000000"/>
          <w:lang w:val="en-US" w:eastAsia="zh-TW"/>
        </w:rPr>
        <w:t>1.48</w:t>
      </w:r>
      <w:r w:rsidR="009A3D07" w:rsidRPr="009A3D07">
        <w:rPr>
          <w:rFonts w:ascii="Arial" w:eastAsia="宋体" w:hAnsi="Arial" w:cs="Arial" w:hint="eastAsia"/>
          <w:color w:val="000000"/>
          <w:lang w:val="en-US" w:eastAsia="zh-TW"/>
        </w:rPr>
        <w:t>個百分點；營業淨收入</w:t>
      </w:r>
      <w:r w:rsidR="009A3D07" w:rsidRPr="009A3D07">
        <w:rPr>
          <w:rFonts w:ascii="Arial" w:eastAsia="宋体" w:hAnsi="Arial" w:cs="Arial"/>
          <w:color w:val="000000"/>
          <w:lang w:val="en-US" w:eastAsia="zh-TW"/>
        </w:rPr>
        <w:t>989.59</w:t>
      </w:r>
      <w:r w:rsidR="009A3D07" w:rsidRPr="009A3D07">
        <w:rPr>
          <w:rFonts w:ascii="Arial" w:eastAsia="宋体" w:hAnsi="Arial" w:cs="Arial" w:hint="eastAsia"/>
          <w:color w:val="000000"/>
          <w:lang w:val="en-US" w:eastAsia="zh-TW"/>
        </w:rPr>
        <w:t>億元，同比增長</w:t>
      </w:r>
      <w:r w:rsidR="009A3D07" w:rsidRPr="009A3D07">
        <w:rPr>
          <w:rFonts w:ascii="Arial" w:eastAsia="宋体" w:hAnsi="Arial" w:cs="Arial"/>
          <w:color w:val="000000"/>
          <w:lang w:val="en-US" w:eastAsia="zh-TW"/>
        </w:rPr>
        <w:t>1.42%</w:t>
      </w:r>
      <w:r w:rsidR="009A3D07" w:rsidRPr="009A3D07">
        <w:rPr>
          <w:rFonts w:ascii="Arial" w:eastAsia="宋体" w:hAnsi="Arial" w:cs="Arial" w:hint="eastAsia"/>
          <w:color w:val="000000"/>
          <w:lang w:val="en-US" w:eastAsia="zh-TW"/>
        </w:rPr>
        <w:t>，</w:t>
      </w:r>
      <w:proofErr w:type="gramStart"/>
      <w:r w:rsidR="009A3D07" w:rsidRPr="009A3D07">
        <w:rPr>
          <w:rFonts w:ascii="Arial" w:eastAsia="宋体" w:hAnsi="Arial" w:cs="Arial" w:hint="eastAsia"/>
          <w:color w:val="000000"/>
          <w:lang w:val="en-US" w:eastAsia="zh-TW"/>
        </w:rPr>
        <w:t>占本集團</w:t>
      </w:r>
      <w:proofErr w:type="gramEnd"/>
      <w:r w:rsidR="009A3D07" w:rsidRPr="009A3D07">
        <w:rPr>
          <w:rFonts w:ascii="Arial" w:eastAsia="宋体" w:hAnsi="Arial" w:cs="Arial" w:hint="eastAsia"/>
          <w:color w:val="000000"/>
          <w:lang w:val="en-US" w:eastAsia="zh-TW"/>
        </w:rPr>
        <w:t>營業淨收入的</w:t>
      </w:r>
      <w:r w:rsidR="009A3D07" w:rsidRPr="009A3D07">
        <w:rPr>
          <w:rFonts w:ascii="Arial" w:eastAsia="宋体" w:hAnsi="Arial" w:cs="Arial"/>
          <w:color w:val="000000"/>
          <w:lang w:val="en-US" w:eastAsia="zh-TW"/>
        </w:rPr>
        <w:t>55.45%</w:t>
      </w:r>
      <w:r w:rsidR="009A3D07" w:rsidRPr="009A3D07">
        <w:rPr>
          <w:rFonts w:ascii="Arial" w:eastAsia="宋体" w:hAnsi="Arial" w:cs="Arial" w:hint="eastAsia"/>
          <w:color w:val="000000"/>
          <w:lang w:val="en-US" w:eastAsia="zh-TW"/>
        </w:rPr>
        <w:t>，同比上升</w:t>
      </w:r>
      <w:r w:rsidR="009A3D07" w:rsidRPr="009A3D07">
        <w:rPr>
          <w:rFonts w:ascii="Arial" w:eastAsia="宋体" w:hAnsi="Arial" w:cs="Arial"/>
          <w:color w:val="000000"/>
          <w:lang w:val="en-US" w:eastAsia="zh-TW"/>
        </w:rPr>
        <w:t>0.96</w:t>
      </w:r>
      <w:r w:rsidR="009A3D07" w:rsidRPr="009A3D07">
        <w:rPr>
          <w:rFonts w:ascii="Arial" w:eastAsia="宋体" w:hAnsi="Arial" w:cs="Arial" w:hint="eastAsia"/>
          <w:color w:val="000000"/>
          <w:lang w:val="en-US" w:eastAsia="zh-TW"/>
        </w:rPr>
        <w:t>個百分點</w:t>
      </w:r>
      <w:r w:rsidRPr="005D2EAE">
        <w:rPr>
          <w:rFonts w:ascii="Arial" w:eastAsia="宋体" w:hAnsi="Arial" w:cs="Arial" w:hint="eastAsia"/>
          <w:kern w:val="2"/>
          <w:lang w:val="en-HK" w:eastAsia="zh-TW"/>
        </w:rPr>
        <w:t>；</w:t>
      </w:r>
    </w:p>
    <w:p w14:paraId="0618CE7A" w14:textId="2FCABA26" w:rsidR="00AB35A9" w:rsidRPr="005D2EAE" w:rsidRDefault="002F717E" w:rsidP="003A699D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beforeLines="50" w:before="180" w:after="0" w:line="240" w:lineRule="auto"/>
        <w:jc w:val="both"/>
        <w:rPr>
          <w:rFonts w:ascii="Arial" w:eastAsia="宋体" w:hAnsi="Arial" w:cs="Arial"/>
          <w:kern w:val="2"/>
          <w:lang w:val="en-US" w:eastAsia="zh-TW"/>
        </w:rPr>
      </w:pPr>
      <w:r w:rsidRPr="002F717E">
        <w:rPr>
          <w:rFonts w:ascii="Arial" w:eastAsia="宋体" w:hAnsi="Arial" w:cs="Arial" w:hint="eastAsia"/>
          <w:kern w:val="2"/>
          <w:lang w:eastAsia="zh-TW"/>
        </w:rPr>
        <w:t>非利息淨收入</w:t>
      </w:r>
      <w:r w:rsidRPr="005D2EAE">
        <w:rPr>
          <w:rFonts w:ascii="Arial" w:eastAsia="宋体" w:hAnsi="Arial" w:cs="Arial"/>
          <w:kern w:val="2"/>
          <w:lang w:val="en-US" w:eastAsia="zh-TW"/>
        </w:rPr>
        <w:t>694.69</w:t>
      </w:r>
      <w:r w:rsidRPr="002F717E">
        <w:rPr>
          <w:rFonts w:ascii="Arial" w:eastAsia="宋体" w:hAnsi="Arial" w:cs="Arial" w:hint="eastAsia"/>
          <w:kern w:val="2"/>
          <w:lang w:eastAsia="zh-TW"/>
        </w:rPr>
        <w:t>億元</w:t>
      </w:r>
      <w:r w:rsidRPr="005D2EAE">
        <w:rPr>
          <w:rFonts w:ascii="Arial" w:eastAsia="宋体" w:hAnsi="Arial" w:cs="Arial" w:hint="eastAsia"/>
          <w:kern w:val="2"/>
          <w:lang w:val="en-US" w:eastAsia="zh-TW"/>
        </w:rPr>
        <w:t>，</w:t>
      </w:r>
      <w:r w:rsidRPr="002F717E">
        <w:rPr>
          <w:rFonts w:ascii="Arial" w:eastAsia="宋体" w:hAnsi="Arial" w:cs="Arial" w:hint="eastAsia"/>
          <w:kern w:val="2"/>
          <w:lang w:eastAsia="zh-TW"/>
        </w:rPr>
        <w:t>占營業淨收入的</w:t>
      </w:r>
      <w:r w:rsidRPr="005D2EAE">
        <w:rPr>
          <w:rFonts w:ascii="Arial" w:eastAsia="宋体" w:hAnsi="Arial" w:cs="Arial"/>
          <w:kern w:val="2"/>
          <w:lang w:val="en-US" w:eastAsia="zh-TW"/>
        </w:rPr>
        <w:t>38.93%</w:t>
      </w:r>
      <w:proofErr w:type="gramStart"/>
      <w:r w:rsidR="00CA6198">
        <w:rPr>
          <w:rFonts w:ascii="Arial" w:eastAsia="宋体" w:hAnsi="Arial" w:cs="Arial" w:hint="eastAsia"/>
          <w:kern w:val="2"/>
          <w:lang w:val="en-US" w:eastAsia="zh-TW"/>
        </w:rPr>
        <w:t>（</w:t>
      </w:r>
      <w:proofErr w:type="gramEnd"/>
      <w:r w:rsidR="00CA6198">
        <w:rPr>
          <w:rFonts w:ascii="Arial" w:eastAsia="宋体" w:hAnsi="Arial" w:cs="Arial"/>
          <w:kern w:val="2"/>
          <w:lang w:val="en-US" w:eastAsia="zh-TW"/>
        </w:rPr>
        <w:t>A</w:t>
      </w:r>
      <w:r w:rsidR="00CA6198">
        <w:rPr>
          <w:rFonts w:ascii="Arial" w:eastAsia="宋体" w:hAnsi="Arial" w:cs="Arial" w:hint="eastAsia"/>
          <w:kern w:val="2"/>
          <w:lang w:val="en-US" w:eastAsia="zh-TW"/>
        </w:rPr>
        <w:t>股：非利息淨收入</w:t>
      </w:r>
      <w:r w:rsidR="00CA6198">
        <w:rPr>
          <w:rFonts w:ascii="Arial" w:eastAsia="宋体" w:hAnsi="Arial" w:cs="Arial" w:hint="eastAsia"/>
          <w:kern w:val="2"/>
          <w:lang w:val="en-US" w:eastAsia="zh-TW"/>
        </w:rPr>
        <w:t>6</w:t>
      </w:r>
      <w:r w:rsidR="00CA6198">
        <w:rPr>
          <w:rFonts w:ascii="Arial" w:eastAsia="宋体" w:hAnsi="Arial" w:cs="Arial"/>
          <w:kern w:val="2"/>
          <w:lang w:val="en-US" w:eastAsia="zh-TW"/>
        </w:rPr>
        <w:t>94.64</w:t>
      </w:r>
      <w:r w:rsidR="00CA6198">
        <w:rPr>
          <w:rFonts w:ascii="Arial" w:eastAsia="宋体" w:hAnsi="Arial" w:cs="Arial" w:hint="eastAsia"/>
          <w:kern w:val="2"/>
          <w:lang w:val="en-US" w:eastAsia="zh-TW"/>
        </w:rPr>
        <w:t>億元，占營業收入的</w:t>
      </w:r>
      <w:r w:rsidR="00CA6198">
        <w:rPr>
          <w:rFonts w:ascii="Arial" w:eastAsia="宋体" w:hAnsi="Arial" w:cs="Arial" w:hint="eastAsia"/>
          <w:kern w:val="2"/>
          <w:lang w:val="en-US" w:eastAsia="zh-TW"/>
        </w:rPr>
        <w:t>3</w:t>
      </w:r>
      <w:r w:rsidR="00CA6198">
        <w:rPr>
          <w:rFonts w:ascii="Arial" w:eastAsia="宋体" w:hAnsi="Arial" w:cs="Arial"/>
          <w:kern w:val="2"/>
          <w:lang w:val="en-US" w:eastAsia="zh-TW"/>
        </w:rPr>
        <w:t>8.92</w:t>
      </w:r>
      <w:r w:rsidR="00CA6198">
        <w:rPr>
          <w:rFonts w:ascii="Arial" w:eastAsia="宋体" w:hAnsi="Arial" w:cs="Arial" w:hint="eastAsia"/>
          <w:kern w:val="2"/>
          <w:lang w:val="en-US" w:eastAsia="zh-TW"/>
        </w:rPr>
        <w:t>%</w:t>
      </w:r>
      <w:proofErr w:type="gramStart"/>
      <w:r w:rsidR="00CA6198">
        <w:rPr>
          <w:rFonts w:ascii="Arial" w:eastAsia="宋体" w:hAnsi="Arial" w:cs="Arial" w:hint="eastAsia"/>
          <w:kern w:val="2"/>
          <w:lang w:val="en-US" w:eastAsia="zh-TW"/>
        </w:rPr>
        <w:t>）</w:t>
      </w:r>
      <w:proofErr w:type="gramEnd"/>
      <w:r w:rsidRPr="005D2EAE">
        <w:rPr>
          <w:rFonts w:ascii="Arial" w:eastAsia="宋体" w:hAnsi="Arial" w:cs="Arial" w:hint="eastAsia"/>
          <w:kern w:val="2"/>
          <w:lang w:val="en-US" w:eastAsia="zh-TW"/>
        </w:rPr>
        <w:t>，</w:t>
      </w:r>
      <w:r w:rsidRPr="002F717E">
        <w:rPr>
          <w:rFonts w:ascii="Arial" w:eastAsia="宋体" w:hAnsi="Arial" w:cs="Arial" w:hint="eastAsia"/>
          <w:kern w:val="2"/>
          <w:lang w:eastAsia="zh-TW"/>
        </w:rPr>
        <w:t>保持較高</w:t>
      </w:r>
      <w:r w:rsidR="00BA2159">
        <w:rPr>
          <w:rFonts w:ascii="Arial" w:eastAsia="宋体" w:hAnsi="Arial" w:cs="Arial" w:hint="eastAsia"/>
          <w:kern w:val="2"/>
          <w:lang w:eastAsia="zh-TW"/>
        </w:rPr>
        <w:t>水平</w:t>
      </w:r>
      <w:r w:rsidR="00BA2159" w:rsidRPr="005D2EAE">
        <w:rPr>
          <w:rFonts w:ascii="Arial" w:eastAsia="宋体" w:hAnsi="Arial" w:cs="Arial" w:hint="eastAsia"/>
          <w:kern w:val="2"/>
          <w:lang w:val="en-US" w:eastAsia="zh-TW"/>
        </w:rPr>
        <w:t>；</w:t>
      </w:r>
    </w:p>
    <w:p w14:paraId="3F37122F" w14:textId="5E117363" w:rsidR="003E3084" w:rsidRPr="005D2EAE" w:rsidRDefault="002F717E" w:rsidP="003A699D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beforeLines="50" w:before="180" w:after="0" w:line="240" w:lineRule="auto"/>
        <w:jc w:val="both"/>
        <w:rPr>
          <w:rFonts w:ascii="Arial" w:eastAsia="宋体" w:hAnsi="Arial" w:cs="Arial"/>
          <w:kern w:val="2"/>
          <w:lang w:val="en-US" w:eastAsia="zh-TW"/>
        </w:rPr>
      </w:pPr>
      <w:r w:rsidRPr="002F717E">
        <w:rPr>
          <w:rFonts w:ascii="Arial" w:eastAsia="宋体" w:hAnsi="Arial" w:cs="Arial" w:hint="eastAsia"/>
          <w:kern w:val="2"/>
          <w:lang w:eastAsia="zh-TW"/>
        </w:rPr>
        <w:t>大財富管理收入</w:t>
      </w:r>
      <w:r w:rsidRPr="005D2EAE">
        <w:rPr>
          <w:rFonts w:ascii="Arial" w:eastAsia="宋体" w:hAnsi="Arial" w:cs="Arial"/>
          <w:kern w:val="2"/>
          <w:lang w:val="en-US" w:eastAsia="zh-TW"/>
        </w:rPr>
        <w:t>258.46</w:t>
      </w:r>
      <w:r w:rsidRPr="002F717E">
        <w:rPr>
          <w:rFonts w:ascii="Arial" w:eastAsia="宋体" w:hAnsi="Arial" w:cs="Arial" w:hint="eastAsia"/>
          <w:kern w:val="2"/>
          <w:lang w:eastAsia="zh-TW"/>
        </w:rPr>
        <w:t>億元</w:t>
      </w:r>
      <w:r w:rsidRPr="005D2EAE">
        <w:rPr>
          <w:rFonts w:ascii="Arial" w:eastAsia="宋体" w:hAnsi="Arial" w:cs="Arial" w:hint="eastAsia"/>
          <w:kern w:val="2"/>
          <w:lang w:val="en-US" w:eastAsia="zh-TW"/>
        </w:rPr>
        <w:t>，</w:t>
      </w:r>
      <w:r w:rsidRPr="002F717E">
        <w:rPr>
          <w:rFonts w:ascii="Arial" w:eastAsia="宋体" w:hAnsi="Arial" w:cs="Arial" w:hint="eastAsia"/>
          <w:kern w:val="2"/>
          <w:lang w:eastAsia="zh-TW"/>
        </w:rPr>
        <w:t>占營業淨收入的</w:t>
      </w:r>
      <w:r w:rsidRPr="005D2EAE">
        <w:rPr>
          <w:rFonts w:ascii="Arial" w:eastAsia="宋体" w:hAnsi="Arial" w:cs="Arial"/>
          <w:kern w:val="2"/>
          <w:lang w:val="en-US" w:eastAsia="zh-TW"/>
        </w:rPr>
        <w:t>14.48%</w:t>
      </w:r>
      <w:r w:rsidRPr="005D2EAE">
        <w:rPr>
          <w:rFonts w:ascii="Arial" w:eastAsia="宋体" w:hAnsi="Arial" w:cs="Arial" w:hint="eastAsia"/>
          <w:kern w:val="2"/>
          <w:lang w:val="en-US" w:eastAsia="zh-TW"/>
        </w:rPr>
        <w:t>，</w:t>
      </w:r>
      <w:r w:rsidRPr="002F717E">
        <w:rPr>
          <w:rFonts w:ascii="Arial" w:eastAsia="宋体" w:hAnsi="Arial" w:cs="Arial" w:hint="eastAsia"/>
          <w:kern w:val="2"/>
          <w:lang w:eastAsia="zh-TW"/>
        </w:rPr>
        <w:t>依然保持韌性。</w:t>
      </w:r>
    </w:p>
    <w:p w14:paraId="724ACF0F" w14:textId="77777777" w:rsidR="00BA2159" w:rsidRPr="005D2EAE" w:rsidRDefault="00BA2159" w:rsidP="003A699D">
      <w:pPr>
        <w:spacing w:after="0" w:line="240" w:lineRule="auto"/>
        <w:rPr>
          <w:rFonts w:ascii="Arial" w:eastAsia="PMingLiU" w:hAnsi="Arial" w:cs="Arial"/>
          <w:i/>
          <w:sz w:val="18"/>
          <w:szCs w:val="18"/>
          <w:lang w:eastAsia="zh-TW"/>
        </w:rPr>
      </w:pPr>
      <w:r w:rsidRPr="005D2EAE">
        <w:rPr>
          <w:rFonts w:ascii="Arial" w:hAnsi="Arial" w:cs="Arial" w:hint="eastAsia"/>
          <w:i/>
          <w:sz w:val="18"/>
          <w:szCs w:val="18"/>
          <w:lang w:eastAsia="zh-TW"/>
        </w:rPr>
        <w:t>注</w:t>
      </w:r>
      <w:r w:rsidRPr="005D2EAE">
        <w:rPr>
          <w:rFonts w:ascii="Arial" w:hAnsi="Arial" w:cs="Arial"/>
          <w:i/>
          <w:sz w:val="18"/>
          <w:szCs w:val="18"/>
          <w:lang w:eastAsia="zh-TW"/>
        </w:rPr>
        <w:t>1</w:t>
      </w:r>
      <w:r w:rsidRPr="005D2EAE">
        <w:rPr>
          <w:rFonts w:ascii="Arial" w:hAnsi="Arial" w:cs="Arial" w:hint="eastAsia"/>
          <w:i/>
          <w:sz w:val="18"/>
          <w:szCs w:val="18"/>
          <w:lang w:eastAsia="zh-TW"/>
        </w:rPr>
        <w:t>：除特別標示外，以上</w:t>
      </w:r>
      <w:proofErr w:type="gramStart"/>
      <w:r w:rsidRPr="005D2EAE">
        <w:rPr>
          <w:rFonts w:ascii="Arial" w:hAnsi="Arial" w:cs="Arial" w:hint="eastAsia"/>
          <w:i/>
          <w:sz w:val="18"/>
          <w:szCs w:val="18"/>
          <w:lang w:eastAsia="zh-TW"/>
        </w:rPr>
        <w:t>數據均為本</w:t>
      </w:r>
      <w:proofErr w:type="gramEnd"/>
      <w:r w:rsidRPr="005D2EAE">
        <w:rPr>
          <w:rFonts w:ascii="Arial" w:hAnsi="Arial" w:cs="Arial" w:hint="eastAsia"/>
          <w:i/>
          <w:sz w:val="18"/>
          <w:szCs w:val="18"/>
          <w:lang w:eastAsia="zh-TW"/>
        </w:rPr>
        <w:t>集團口徑數據，及以人民幣為單位。</w:t>
      </w:r>
    </w:p>
    <w:p w14:paraId="571CED5B" w14:textId="4B8F89FB" w:rsidR="00061E17" w:rsidRPr="00CF4670" w:rsidRDefault="00BA2159" w:rsidP="003A699D">
      <w:pPr>
        <w:spacing w:after="0" w:line="240" w:lineRule="auto"/>
        <w:rPr>
          <w:rFonts w:eastAsia="宋体"/>
          <w:kern w:val="2"/>
          <w:sz w:val="23"/>
          <w:szCs w:val="23"/>
          <w:lang w:val="en-US" w:eastAsia="zh-TW"/>
        </w:rPr>
      </w:pPr>
      <w:r w:rsidRPr="005D2EAE">
        <w:rPr>
          <w:rFonts w:ascii="Arial" w:hAnsi="Arial" w:cs="Arial" w:hint="eastAsia"/>
          <w:i/>
          <w:sz w:val="18"/>
          <w:szCs w:val="18"/>
          <w:lang w:eastAsia="zh-TW"/>
        </w:rPr>
        <w:t>注</w:t>
      </w:r>
      <w:r w:rsidRPr="005D2EAE">
        <w:rPr>
          <w:rFonts w:ascii="Arial" w:hAnsi="Arial" w:cs="Arial"/>
          <w:i/>
          <w:sz w:val="18"/>
          <w:szCs w:val="18"/>
          <w:lang w:eastAsia="zh-TW"/>
        </w:rPr>
        <w:t>2</w:t>
      </w:r>
      <w:r w:rsidRPr="005D2EAE">
        <w:rPr>
          <w:rFonts w:ascii="Arial" w:hAnsi="Arial" w:cs="Arial" w:hint="eastAsia"/>
          <w:i/>
          <w:sz w:val="18"/>
          <w:szCs w:val="18"/>
          <w:lang w:eastAsia="zh-TW"/>
        </w:rPr>
        <w:t>：招商銀行</w:t>
      </w:r>
      <w:r w:rsidRPr="005D2EAE">
        <w:rPr>
          <w:rFonts w:ascii="Arial" w:hAnsi="Arial" w:cs="Arial"/>
          <w:i/>
          <w:sz w:val="18"/>
          <w:szCs w:val="18"/>
          <w:lang w:eastAsia="zh-TW"/>
        </w:rPr>
        <w:t>H</w:t>
      </w:r>
      <w:r w:rsidRPr="005D2EAE">
        <w:rPr>
          <w:rFonts w:ascii="Arial" w:hAnsi="Arial" w:cs="Arial" w:hint="eastAsia"/>
          <w:i/>
          <w:sz w:val="18"/>
          <w:szCs w:val="18"/>
          <w:lang w:eastAsia="zh-TW"/>
        </w:rPr>
        <w:t>股的</w:t>
      </w:r>
      <w:r w:rsidRPr="005D2EAE">
        <w:rPr>
          <w:rFonts w:ascii="Arial" w:hAnsi="Arial" w:cs="Arial"/>
          <w:i/>
          <w:sz w:val="18"/>
          <w:szCs w:val="18"/>
          <w:lang w:eastAsia="zh-TW"/>
        </w:rPr>
        <w:t>202</w:t>
      </w:r>
      <w:r>
        <w:rPr>
          <w:rFonts w:ascii="Arial" w:hAnsi="Arial" w:cs="Arial"/>
          <w:i/>
          <w:sz w:val="18"/>
          <w:szCs w:val="18"/>
          <w:lang w:eastAsia="zh-TW"/>
        </w:rPr>
        <w:t>3</w:t>
      </w:r>
      <w:r w:rsidRPr="005D2EAE">
        <w:rPr>
          <w:rFonts w:ascii="Arial" w:hAnsi="Arial" w:cs="Arial" w:hint="eastAsia"/>
          <w:i/>
          <w:sz w:val="18"/>
          <w:szCs w:val="18"/>
          <w:lang w:eastAsia="zh-TW"/>
        </w:rPr>
        <w:t>年</w:t>
      </w:r>
      <w:r>
        <w:rPr>
          <w:rFonts w:ascii="Arial" w:hAnsi="Arial" w:cs="Arial" w:hint="eastAsia"/>
          <w:i/>
          <w:sz w:val="18"/>
          <w:szCs w:val="18"/>
          <w:lang w:eastAsia="zh-TW"/>
        </w:rPr>
        <w:t>中期</w:t>
      </w:r>
      <w:r w:rsidRPr="005D2EAE">
        <w:rPr>
          <w:rFonts w:ascii="Arial" w:hAnsi="Arial" w:cs="Arial" w:hint="eastAsia"/>
          <w:i/>
          <w:sz w:val="18"/>
          <w:szCs w:val="18"/>
          <w:lang w:eastAsia="zh-TW"/>
        </w:rPr>
        <w:t>財務報告按國際財務報告準則編制，按中國會計準則編制的</w:t>
      </w:r>
      <w:r w:rsidRPr="005D2EAE">
        <w:rPr>
          <w:rFonts w:ascii="Arial" w:hAnsi="Arial" w:cs="Arial"/>
          <w:i/>
          <w:sz w:val="18"/>
          <w:szCs w:val="18"/>
          <w:lang w:eastAsia="zh-TW"/>
        </w:rPr>
        <w:t>A</w:t>
      </w:r>
      <w:r w:rsidRPr="005D2EAE">
        <w:rPr>
          <w:rFonts w:ascii="Arial" w:hAnsi="Arial" w:cs="Arial" w:hint="eastAsia"/>
          <w:i/>
          <w:sz w:val="18"/>
          <w:szCs w:val="18"/>
          <w:lang w:eastAsia="zh-TW"/>
        </w:rPr>
        <w:t>股財務</w:t>
      </w:r>
      <w:r w:rsidR="00F07A04">
        <w:rPr>
          <w:rFonts w:ascii="Arial" w:hAnsi="Arial" w:cs="Arial" w:hint="eastAsia"/>
          <w:i/>
          <w:sz w:val="18"/>
          <w:szCs w:val="18"/>
          <w:lang w:eastAsia="zh-TW"/>
        </w:rPr>
        <w:t>數據</w:t>
      </w:r>
      <w:r w:rsidRPr="005D2EAE">
        <w:rPr>
          <w:rFonts w:ascii="Arial" w:hAnsi="Arial" w:cs="Arial" w:hint="eastAsia"/>
          <w:i/>
          <w:sz w:val="18"/>
          <w:szCs w:val="18"/>
          <w:lang w:eastAsia="zh-TW"/>
        </w:rPr>
        <w:t>如果與</w:t>
      </w:r>
      <w:r w:rsidRPr="005D2EAE">
        <w:rPr>
          <w:rFonts w:ascii="Arial" w:hAnsi="Arial" w:cs="Arial"/>
          <w:i/>
          <w:sz w:val="18"/>
          <w:szCs w:val="18"/>
          <w:lang w:eastAsia="zh-TW"/>
        </w:rPr>
        <w:t>H</w:t>
      </w:r>
      <w:r w:rsidRPr="005D2EAE">
        <w:rPr>
          <w:rFonts w:ascii="Arial" w:hAnsi="Arial" w:cs="Arial" w:hint="eastAsia"/>
          <w:i/>
          <w:sz w:val="18"/>
          <w:szCs w:val="18"/>
          <w:lang w:eastAsia="zh-TW"/>
        </w:rPr>
        <w:t>股財務數據不同，則另行標示。</w:t>
      </w:r>
    </w:p>
    <w:p w14:paraId="0BCA9E5E" w14:textId="65FF0903" w:rsidR="00061E17" w:rsidRPr="00BA2159" w:rsidRDefault="00BA2159">
      <w:pPr>
        <w:widowControl w:val="0"/>
        <w:spacing w:after="0" w:line="240" w:lineRule="auto"/>
        <w:jc w:val="both"/>
        <w:rPr>
          <w:rFonts w:ascii="Arial" w:eastAsia="宋体" w:hAnsi="Arial" w:cs="Arial"/>
          <w:kern w:val="2"/>
          <w:sz w:val="23"/>
          <w:szCs w:val="23"/>
          <w:lang w:val="en-US" w:eastAsia="zh-TW"/>
        </w:rPr>
      </w:pPr>
      <w:r w:rsidRPr="00BA2159">
        <w:rPr>
          <w:rFonts w:ascii="Arial" w:eastAsia="宋体" w:hAnsi="Arial" w:cs="Arial"/>
          <w:color w:val="000000"/>
          <w:kern w:val="2"/>
          <w:sz w:val="23"/>
          <w:szCs w:val="23"/>
          <w:lang w:val="en-US" w:eastAsia="zh-TW"/>
        </w:rPr>
        <w:lastRenderedPageBreak/>
        <w:t>2023</w:t>
      </w:r>
      <w:r w:rsidRPr="00BA2159">
        <w:rPr>
          <w:rFonts w:ascii="Arial" w:eastAsia="宋体" w:hAnsi="Arial" w:cs="Arial" w:hint="eastAsia"/>
          <w:color w:val="000000"/>
          <w:kern w:val="2"/>
          <w:sz w:val="23"/>
          <w:szCs w:val="23"/>
          <w:lang w:val="en-US" w:eastAsia="zh-TW"/>
        </w:rPr>
        <w:t>年</w:t>
      </w:r>
      <w:r w:rsidRPr="00BA2159">
        <w:rPr>
          <w:rFonts w:ascii="Arial" w:eastAsia="宋体" w:hAnsi="Arial" w:cs="Arial"/>
          <w:color w:val="000000"/>
          <w:kern w:val="2"/>
          <w:sz w:val="23"/>
          <w:szCs w:val="23"/>
          <w:lang w:val="en-US" w:eastAsia="zh-TW"/>
        </w:rPr>
        <w:t>8</w:t>
      </w:r>
      <w:r w:rsidRPr="00BA2159">
        <w:rPr>
          <w:rFonts w:ascii="Arial" w:eastAsia="宋体" w:hAnsi="Arial" w:cs="Arial" w:hint="eastAsia"/>
          <w:color w:val="000000"/>
          <w:kern w:val="2"/>
          <w:sz w:val="23"/>
          <w:szCs w:val="23"/>
          <w:lang w:val="en-US" w:eastAsia="zh-TW"/>
        </w:rPr>
        <w:t>月</w:t>
      </w:r>
      <w:r w:rsidRPr="00BA2159">
        <w:rPr>
          <w:rFonts w:ascii="Arial" w:eastAsia="宋体" w:hAnsi="Arial" w:cs="Arial"/>
          <w:color w:val="000000"/>
          <w:kern w:val="2"/>
          <w:sz w:val="23"/>
          <w:szCs w:val="23"/>
          <w:lang w:val="en-US" w:eastAsia="zh-TW"/>
        </w:rPr>
        <w:t>25</w:t>
      </w:r>
      <w:r w:rsidRPr="00BA2159">
        <w:rPr>
          <w:rFonts w:ascii="Arial" w:eastAsia="宋体" w:hAnsi="Arial" w:cs="Arial" w:hint="eastAsia"/>
          <w:color w:val="000000"/>
          <w:kern w:val="2"/>
          <w:sz w:val="23"/>
          <w:szCs w:val="23"/>
          <w:lang w:val="en-US" w:eastAsia="zh-TW"/>
        </w:rPr>
        <w:t>日</w:t>
      </w:r>
      <w:r w:rsidRPr="00BA2159">
        <w:rPr>
          <w:rFonts w:ascii="Arial" w:eastAsia="宋体" w:hAnsi="Arial" w:cs="Arial"/>
          <w:kern w:val="2"/>
          <w:sz w:val="23"/>
          <w:szCs w:val="23"/>
          <w:lang w:val="en-US" w:eastAsia="zh-TW"/>
        </w:rPr>
        <w:t xml:space="preserve"> </w:t>
      </w:r>
      <w:r w:rsidRPr="00BA2159">
        <w:rPr>
          <w:rFonts w:ascii="Arial" w:eastAsia="宋体" w:hAnsi="Arial" w:cs="Arial" w:hint="eastAsia"/>
          <w:kern w:val="2"/>
          <w:sz w:val="23"/>
          <w:szCs w:val="23"/>
          <w:lang w:val="en-US" w:eastAsia="zh-TW"/>
        </w:rPr>
        <w:t>─</w:t>
      </w:r>
      <w:r w:rsidRPr="00BA2159">
        <w:rPr>
          <w:rFonts w:ascii="Arial" w:eastAsia="宋体" w:hAnsi="Arial" w:cs="Arial"/>
          <w:kern w:val="2"/>
          <w:sz w:val="23"/>
          <w:szCs w:val="23"/>
          <w:lang w:val="en-US" w:eastAsia="zh-TW"/>
        </w:rPr>
        <w:t xml:space="preserve"> </w:t>
      </w:r>
      <w:r w:rsidRPr="00BA2159">
        <w:rPr>
          <w:rFonts w:ascii="Arial" w:eastAsia="宋体" w:hAnsi="Arial" w:cs="Arial" w:hint="eastAsia"/>
          <w:kern w:val="2"/>
          <w:sz w:val="23"/>
          <w:szCs w:val="23"/>
          <w:lang w:val="en-US" w:eastAsia="zh-TW"/>
        </w:rPr>
        <w:t>招商銀行（</w:t>
      </w:r>
      <w:r w:rsidRPr="00BA2159">
        <w:rPr>
          <w:rFonts w:ascii="Arial" w:eastAsia="宋体" w:hAnsi="Arial" w:cs="Arial"/>
          <w:kern w:val="2"/>
          <w:sz w:val="23"/>
          <w:szCs w:val="23"/>
          <w:lang w:val="en-US" w:eastAsia="zh-TW"/>
        </w:rPr>
        <w:t>「</w:t>
      </w:r>
      <w:r w:rsidRPr="00BA2159">
        <w:rPr>
          <w:rFonts w:ascii="Arial" w:eastAsia="宋体" w:hAnsi="Arial" w:cs="Arial" w:hint="eastAsia"/>
          <w:kern w:val="2"/>
          <w:sz w:val="23"/>
          <w:szCs w:val="23"/>
          <w:lang w:val="en-US" w:eastAsia="zh-TW"/>
        </w:rPr>
        <w:t>招行</w:t>
      </w:r>
      <w:r w:rsidRPr="00BA2159">
        <w:rPr>
          <w:rFonts w:ascii="Arial" w:eastAsia="宋体" w:hAnsi="Arial" w:cs="Arial"/>
          <w:kern w:val="2"/>
          <w:sz w:val="23"/>
          <w:szCs w:val="23"/>
          <w:lang w:val="en-US" w:eastAsia="zh-TW"/>
        </w:rPr>
        <w:t>」</w:t>
      </w:r>
      <w:r w:rsidRPr="00BA2159">
        <w:rPr>
          <w:rFonts w:ascii="Arial" w:eastAsia="宋体" w:hAnsi="Arial" w:cs="Arial" w:hint="eastAsia"/>
          <w:kern w:val="2"/>
          <w:sz w:val="23"/>
          <w:szCs w:val="23"/>
          <w:lang w:val="en-US" w:eastAsia="zh-TW"/>
        </w:rPr>
        <w:t>或</w:t>
      </w:r>
      <w:r w:rsidRPr="00BA2159">
        <w:rPr>
          <w:rFonts w:ascii="Arial" w:eastAsia="宋体" w:hAnsi="Arial" w:cs="Arial"/>
          <w:kern w:val="2"/>
          <w:sz w:val="23"/>
          <w:szCs w:val="23"/>
          <w:lang w:val="en-US" w:eastAsia="zh-TW"/>
        </w:rPr>
        <w:t>「</w:t>
      </w:r>
      <w:r w:rsidRPr="00BA2159">
        <w:rPr>
          <w:rFonts w:ascii="Arial" w:eastAsia="宋体" w:hAnsi="Arial" w:cs="Arial" w:hint="eastAsia"/>
          <w:kern w:val="2"/>
          <w:sz w:val="23"/>
          <w:szCs w:val="23"/>
          <w:lang w:val="en-US" w:eastAsia="zh-TW"/>
        </w:rPr>
        <w:t>本公司</w:t>
      </w:r>
      <w:r w:rsidRPr="00BA2159">
        <w:rPr>
          <w:rFonts w:ascii="Arial" w:eastAsia="宋体" w:hAnsi="Arial" w:cs="Arial"/>
          <w:kern w:val="2"/>
          <w:sz w:val="23"/>
          <w:szCs w:val="23"/>
          <w:lang w:val="en-US" w:eastAsia="zh-TW"/>
        </w:rPr>
        <w:t>」</w:t>
      </w:r>
      <w:r w:rsidRPr="00BA2159">
        <w:rPr>
          <w:rFonts w:ascii="Arial" w:eastAsia="宋体" w:hAnsi="Arial" w:cs="Arial" w:hint="eastAsia"/>
          <w:kern w:val="2"/>
          <w:sz w:val="23"/>
          <w:szCs w:val="23"/>
          <w:lang w:val="en-US" w:eastAsia="zh-TW"/>
        </w:rPr>
        <w:t>；上海：</w:t>
      </w:r>
      <w:r w:rsidRPr="00BA2159">
        <w:rPr>
          <w:rFonts w:ascii="Arial" w:eastAsia="宋体" w:hAnsi="Arial" w:cs="Arial"/>
          <w:kern w:val="2"/>
          <w:sz w:val="23"/>
          <w:szCs w:val="23"/>
          <w:lang w:val="en-US" w:eastAsia="zh-TW"/>
        </w:rPr>
        <w:t>600036</w:t>
      </w:r>
      <w:r w:rsidRPr="00BA2159">
        <w:rPr>
          <w:rFonts w:ascii="Arial" w:eastAsia="宋体" w:hAnsi="Arial" w:cs="Arial" w:hint="eastAsia"/>
          <w:kern w:val="2"/>
          <w:sz w:val="23"/>
          <w:szCs w:val="23"/>
          <w:lang w:val="en-US" w:eastAsia="zh-TW"/>
        </w:rPr>
        <w:t>；香港：</w:t>
      </w:r>
      <w:r w:rsidRPr="00BA2159">
        <w:rPr>
          <w:rFonts w:ascii="Arial" w:eastAsia="宋体" w:hAnsi="Arial" w:cs="Arial"/>
          <w:kern w:val="2"/>
          <w:sz w:val="23"/>
          <w:szCs w:val="23"/>
          <w:lang w:val="en-US" w:eastAsia="zh-TW"/>
        </w:rPr>
        <w:t>3968</w:t>
      </w:r>
      <w:r w:rsidRPr="00BA2159">
        <w:rPr>
          <w:rFonts w:ascii="Arial" w:eastAsia="宋体" w:hAnsi="Arial" w:cs="Arial" w:hint="eastAsia"/>
          <w:kern w:val="2"/>
          <w:sz w:val="23"/>
          <w:szCs w:val="23"/>
          <w:lang w:val="en-US" w:eastAsia="zh-TW"/>
        </w:rPr>
        <w:t>；連同其附屬公司合稱</w:t>
      </w:r>
      <w:r w:rsidRPr="00BA2159">
        <w:rPr>
          <w:rFonts w:ascii="Arial" w:eastAsia="宋体" w:hAnsi="Arial" w:cs="Arial"/>
          <w:kern w:val="2"/>
          <w:sz w:val="23"/>
          <w:szCs w:val="23"/>
          <w:lang w:val="en-US" w:eastAsia="zh-TW"/>
        </w:rPr>
        <w:t>「</w:t>
      </w:r>
      <w:r w:rsidRPr="00BA2159">
        <w:rPr>
          <w:rFonts w:ascii="Arial" w:eastAsia="宋体" w:hAnsi="Arial" w:cs="Arial" w:hint="eastAsia"/>
          <w:kern w:val="2"/>
          <w:sz w:val="23"/>
          <w:szCs w:val="23"/>
          <w:lang w:val="en-US" w:eastAsia="zh-TW"/>
        </w:rPr>
        <w:t>本集團</w:t>
      </w:r>
      <w:r w:rsidRPr="00BA2159">
        <w:rPr>
          <w:rFonts w:ascii="Arial" w:eastAsia="宋体" w:hAnsi="Arial" w:cs="Arial"/>
          <w:kern w:val="2"/>
          <w:sz w:val="23"/>
          <w:szCs w:val="23"/>
          <w:lang w:val="en-US" w:eastAsia="zh-TW"/>
        </w:rPr>
        <w:t>」</w:t>
      </w:r>
      <w:r w:rsidRPr="00BA2159">
        <w:rPr>
          <w:rFonts w:ascii="Arial" w:eastAsia="宋体" w:hAnsi="Arial" w:cs="Arial" w:hint="eastAsia"/>
          <w:kern w:val="2"/>
          <w:sz w:val="23"/>
          <w:szCs w:val="23"/>
          <w:lang w:val="en-US" w:eastAsia="zh-TW"/>
        </w:rPr>
        <w:t>），今天公佈</w:t>
      </w:r>
      <w:r w:rsidRPr="00BA2159">
        <w:rPr>
          <w:rFonts w:ascii="Arial" w:eastAsia="宋体" w:hAnsi="Arial" w:cs="Arial"/>
          <w:kern w:val="2"/>
          <w:sz w:val="23"/>
          <w:szCs w:val="23"/>
          <w:lang w:val="en-US" w:eastAsia="zh-TW"/>
        </w:rPr>
        <w:t>2023</w:t>
      </w:r>
      <w:r w:rsidRPr="00BA2159">
        <w:rPr>
          <w:rFonts w:ascii="Arial" w:eastAsia="宋体" w:hAnsi="Arial" w:cs="Arial" w:hint="eastAsia"/>
          <w:kern w:val="2"/>
          <w:sz w:val="23"/>
          <w:szCs w:val="23"/>
          <w:lang w:val="en-US" w:eastAsia="zh-TW"/>
        </w:rPr>
        <w:t>年中期業績。</w:t>
      </w:r>
    </w:p>
    <w:p w14:paraId="772A3B9C" w14:textId="77777777" w:rsidR="00061E17" w:rsidRPr="00BA2159" w:rsidRDefault="00061E17">
      <w:pPr>
        <w:widowControl w:val="0"/>
        <w:spacing w:after="0" w:line="240" w:lineRule="auto"/>
        <w:jc w:val="both"/>
        <w:rPr>
          <w:rFonts w:ascii="Arial" w:eastAsia="宋体" w:hAnsi="Arial" w:cs="Arial"/>
          <w:kern w:val="2"/>
          <w:sz w:val="23"/>
          <w:szCs w:val="23"/>
          <w:lang w:val="en-US" w:eastAsia="zh-TW"/>
        </w:rPr>
      </w:pPr>
    </w:p>
    <w:p w14:paraId="2A3DCA1B" w14:textId="7E653769" w:rsidR="00061E17" w:rsidRPr="00BA2159" w:rsidRDefault="00BA2159">
      <w:pPr>
        <w:widowControl w:val="0"/>
        <w:spacing w:after="0" w:line="240" w:lineRule="auto"/>
        <w:jc w:val="both"/>
        <w:rPr>
          <w:rFonts w:ascii="Arial" w:eastAsia="宋体" w:hAnsi="Arial" w:cs="Arial"/>
          <w:kern w:val="2"/>
          <w:sz w:val="23"/>
          <w:szCs w:val="23"/>
          <w:lang w:val="en-US" w:eastAsia="zh-TW"/>
        </w:rPr>
      </w:pPr>
      <w:r w:rsidRPr="00BA2159">
        <w:rPr>
          <w:rFonts w:ascii="Arial" w:eastAsia="宋体" w:hAnsi="Arial" w:cs="Arial"/>
          <w:kern w:val="2"/>
          <w:sz w:val="23"/>
          <w:szCs w:val="23"/>
          <w:lang w:val="en-US" w:eastAsia="zh-TW"/>
        </w:rPr>
        <w:t>2023</w:t>
      </w:r>
      <w:r w:rsidRPr="00BA2159">
        <w:rPr>
          <w:rFonts w:ascii="Arial" w:eastAsia="宋体" w:hAnsi="Arial" w:cs="Arial" w:hint="eastAsia"/>
          <w:kern w:val="2"/>
          <w:sz w:val="23"/>
          <w:szCs w:val="23"/>
          <w:lang w:val="en-US" w:eastAsia="zh-TW"/>
        </w:rPr>
        <w:t>年上半年，本集團始終堅持「</w:t>
      </w:r>
      <w:r w:rsidR="001A5688">
        <w:rPr>
          <w:rFonts w:ascii="Arial" w:eastAsia="宋体" w:hAnsi="Arial" w:cs="Arial" w:hint="eastAsia"/>
          <w:kern w:val="2"/>
          <w:sz w:val="23"/>
          <w:szCs w:val="23"/>
          <w:lang w:val="en-US" w:eastAsia="zh-TW"/>
        </w:rPr>
        <w:t>質量</w:t>
      </w:r>
      <w:r w:rsidRPr="00BA2159">
        <w:rPr>
          <w:rFonts w:ascii="Arial" w:eastAsia="宋体" w:hAnsi="Arial" w:cs="Arial" w:hint="eastAsia"/>
          <w:kern w:val="2"/>
          <w:sz w:val="23"/>
          <w:szCs w:val="23"/>
          <w:lang w:val="en-US" w:eastAsia="zh-TW"/>
        </w:rPr>
        <w:t>、效益、規模」動態均衡發展理念，以打造價值銀行為戰略目標，各項業務穩健開展，資產負債規模和淨利潤穩步增長，資產</w:t>
      </w:r>
      <w:r w:rsidR="001A5688">
        <w:rPr>
          <w:rFonts w:ascii="Arial" w:eastAsia="宋体" w:hAnsi="Arial" w:cs="Arial" w:hint="eastAsia"/>
          <w:kern w:val="2"/>
          <w:sz w:val="23"/>
          <w:szCs w:val="23"/>
          <w:lang w:val="en-US" w:eastAsia="zh-TW"/>
        </w:rPr>
        <w:t>質量</w:t>
      </w:r>
      <w:r w:rsidRPr="00BA2159">
        <w:rPr>
          <w:rFonts w:ascii="Arial" w:eastAsia="宋体" w:hAnsi="Arial" w:cs="Arial" w:hint="eastAsia"/>
          <w:kern w:val="2"/>
          <w:sz w:val="23"/>
          <w:szCs w:val="23"/>
          <w:lang w:val="en-US" w:eastAsia="zh-TW"/>
        </w:rPr>
        <w:t>總體穩定。</w:t>
      </w:r>
    </w:p>
    <w:p w14:paraId="1F7F4028" w14:textId="77777777" w:rsidR="00061E17" w:rsidRPr="00CF4670" w:rsidRDefault="007C101A">
      <w:pPr>
        <w:widowControl w:val="0"/>
        <w:spacing w:after="0" w:line="240" w:lineRule="auto"/>
        <w:jc w:val="both"/>
        <w:rPr>
          <w:rFonts w:ascii="Arial" w:eastAsia="宋体" w:hAnsi="Arial" w:cs="Arial"/>
          <w:kern w:val="2"/>
          <w:sz w:val="23"/>
          <w:szCs w:val="23"/>
          <w:lang w:val="en-US" w:eastAsia="zh-TW"/>
        </w:rPr>
      </w:pPr>
      <w:r w:rsidRPr="00CF4670">
        <w:rPr>
          <w:rFonts w:ascii="Arial" w:eastAsia="宋体" w:hAnsi="Arial" w:cs="Arial"/>
          <w:noProof/>
          <w:kern w:val="2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F9A378" wp14:editId="5D010CF5">
                <wp:simplePos x="0" y="0"/>
                <wp:positionH relativeFrom="column">
                  <wp:posOffset>-17780</wp:posOffset>
                </wp:positionH>
                <wp:positionV relativeFrom="paragraph">
                  <wp:posOffset>203835</wp:posOffset>
                </wp:positionV>
                <wp:extent cx="1807845" cy="304800"/>
                <wp:effectExtent l="0" t="0" r="2540" b="0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699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0000"/>
                            </a:gs>
                            <a:gs pos="100000">
                              <a:srgbClr val="FF00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ectangle: Rounded Corners 11" o:spid="_x0000_s1026" o:spt="2" style="position:absolute;left:0pt;margin-left:-1.4pt;margin-top:16.05pt;height:24pt;width:142.35pt;z-index:-251657216;mso-width-relative:page;mso-height-relative:page;" fillcolor="#FF0000" filled="t" stroked="f" coordsize="21600,21600" arcsize="0.166666666666667" o:gfxdata="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yX2eq9YAAAAIAQAADwAAAAAAAAABACAAAAAiAAAAZHJzL2Rvd25y&#10;ZXYueG1sUEsBAhQAFAAAAAgAh07iQBWuLLlyAgAA4QQAAA4AAAAAAAAAAQAgAAAAJQEAAGRycy9l&#10;Mm9Eb2MueG1sUEsFBgAAAAAGAAYAWQEAAAkGAAAAAA==&#10;">
                <v:fill type="gradient" on="t" color2="#FFCCCC" angle="45" focus="100%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 w14:paraId="6FCD09E8" w14:textId="0C0BC3A3" w:rsidR="00061E17" w:rsidRPr="00BA2159" w:rsidRDefault="00BA215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宋体" w:hAnsi="Arial" w:cs="Arial"/>
          <w:b/>
          <w:bCs/>
          <w:kern w:val="2"/>
          <w:sz w:val="23"/>
          <w:szCs w:val="23"/>
          <w:lang w:val="en-US" w:eastAsia="zh-HK"/>
        </w:rPr>
      </w:pPr>
      <w:r w:rsidRPr="00BA2159">
        <w:rPr>
          <w:rFonts w:ascii="Arial" w:eastAsia="宋体" w:hAnsi="Arial" w:cs="Arial" w:hint="eastAsia"/>
          <w:b/>
          <w:kern w:val="2"/>
          <w:sz w:val="23"/>
          <w:szCs w:val="23"/>
          <w:lang w:val="en-US" w:eastAsia="zh-TW"/>
        </w:rPr>
        <w:t>本集團總體經營情況</w:t>
      </w:r>
    </w:p>
    <w:p w14:paraId="2801FF25" w14:textId="77777777" w:rsidR="00061E17" w:rsidRPr="00CF4670" w:rsidRDefault="00061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宋体" w:hAnsi="Arial" w:cs="Arial"/>
          <w:sz w:val="23"/>
          <w:szCs w:val="23"/>
          <w:lang w:val="en-US"/>
        </w:rPr>
      </w:pPr>
    </w:p>
    <w:p w14:paraId="6FA5FDA3" w14:textId="3C7A6652" w:rsidR="00061E17" w:rsidRPr="00BA2159" w:rsidRDefault="00BA2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宋体" w:hAnsi="Arial" w:cs="Arial"/>
          <w:bCs/>
          <w:sz w:val="23"/>
          <w:szCs w:val="23"/>
          <w:lang w:val="en-US" w:eastAsia="zh-TW"/>
        </w:rPr>
      </w:pPr>
      <w:r w:rsidRPr="00BA2159">
        <w:rPr>
          <w:rFonts w:ascii="Arial" w:eastAsia="宋体" w:hAnsi="Arial" w:cs="Arial"/>
          <w:bCs/>
          <w:sz w:val="23"/>
          <w:szCs w:val="23"/>
          <w:lang w:val="en-US" w:eastAsia="zh-TW"/>
        </w:rPr>
        <w:t>2023</w:t>
      </w:r>
      <w:r w:rsidRPr="00BA2159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年上半年，本集團實現營業淨收入</w:t>
      </w:r>
      <w:r w:rsidRPr="00BA2159">
        <w:rPr>
          <w:rFonts w:ascii="Arial" w:eastAsia="宋体" w:hAnsi="Arial" w:cs="Arial"/>
          <w:bCs/>
          <w:sz w:val="23"/>
          <w:szCs w:val="23"/>
          <w:lang w:val="en-US" w:eastAsia="zh-TW"/>
        </w:rPr>
        <w:t>1,784.65</w:t>
      </w:r>
      <w:r w:rsidRPr="00BA2159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億元，同比減少</w:t>
      </w:r>
      <w:r w:rsidRPr="00BA2159">
        <w:rPr>
          <w:rFonts w:ascii="Arial" w:eastAsia="宋体" w:hAnsi="Arial" w:cs="Arial"/>
          <w:bCs/>
          <w:sz w:val="23"/>
          <w:szCs w:val="23"/>
          <w:lang w:val="en-US" w:eastAsia="zh-TW"/>
        </w:rPr>
        <w:t>0.34%</w:t>
      </w:r>
      <w:r w:rsidRPr="00BA2159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（</w:t>
      </w:r>
      <w:r w:rsidRPr="005B0450">
        <w:rPr>
          <w:rFonts w:ascii="Arial" w:eastAsia="宋体" w:hAnsi="Arial" w:cs="Arial"/>
          <w:bCs/>
          <w:sz w:val="23"/>
          <w:szCs w:val="23"/>
          <w:lang w:val="en-US" w:eastAsia="zh-TW"/>
        </w:rPr>
        <w:t>A</w:t>
      </w:r>
      <w:r w:rsidRPr="005B0450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股：營業收入</w:t>
      </w:r>
      <w:r w:rsidRPr="005B0450">
        <w:rPr>
          <w:rFonts w:ascii="Arial" w:eastAsia="宋体" w:hAnsi="Arial" w:cs="Arial"/>
          <w:bCs/>
          <w:sz w:val="23"/>
          <w:szCs w:val="23"/>
          <w:lang w:val="en-US" w:eastAsia="zh-TW"/>
        </w:rPr>
        <w:t>1,784.</w:t>
      </w:r>
      <w:r w:rsidR="002B359D" w:rsidRPr="005B0450">
        <w:rPr>
          <w:rFonts w:ascii="Arial" w:eastAsia="宋体" w:hAnsi="Arial" w:cs="Arial"/>
          <w:bCs/>
          <w:sz w:val="23"/>
          <w:szCs w:val="23"/>
          <w:lang w:val="en-US" w:eastAsia="zh-TW"/>
        </w:rPr>
        <w:t>60</w:t>
      </w:r>
      <w:r w:rsidRPr="005B0450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億元，同比減少</w:t>
      </w:r>
      <w:r w:rsidRPr="005B0450">
        <w:rPr>
          <w:rFonts w:ascii="Arial" w:eastAsia="宋体" w:hAnsi="Arial" w:cs="Arial"/>
          <w:bCs/>
          <w:sz w:val="23"/>
          <w:szCs w:val="23"/>
          <w:lang w:val="en-US" w:eastAsia="zh-TW"/>
        </w:rPr>
        <w:t>0.</w:t>
      </w:r>
      <w:r w:rsidR="002B359D" w:rsidRPr="005B0450">
        <w:rPr>
          <w:rFonts w:ascii="Arial" w:eastAsia="宋体" w:hAnsi="Arial" w:cs="Arial"/>
          <w:bCs/>
          <w:sz w:val="23"/>
          <w:szCs w:val="23"/>
          <w:lang w:val="en-US" w:eastAsia="zh-TW"/>
        </w:rPr>
        <w:t>35</w:t>
      </w:r>
      <w:r w:rsidRPr="005B0450">
        <w:rPr>
          <w:rFonts w:ascii="Arial" w:eastAsia="宋体" w:hAnsi="Arial" w:cs="Arial"/>
          <w:bCs/>
          <w:sz w:val="23"/>
          <w:szCs w:val="23"/>
          <w:lang w:val="en-US" w:eastAsia="zh-TW"/>
        </w:rPr>
        <w:t>%</w:t>
      </w:r>
      <w:r w:rsidRPr="002B359D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）</w:t>
      </w:r>
      <w:r w:rsidRPr="00BA2159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；實現歸屬于本行股東的淨利潤</w:t>
      </w:r>
      <w:r w:rsidRPr="00BA2159">
        <w:rPr>
          <w:rFonts w:ascii="Arial" w:eastAsia="宋体" w:hAnsi="Arial" w:cs="Arial"/>
          <w:bCs/>
          <w:sz w:val="23"/>
          <w:szCs w:val="23"/>
          <w:lang w:val="en-US" w:eastAsia="zh-TW"/>
        </w:rPr>
        <w:t>757.52</w:t>
      </w:r>
      <w:r w:rsidRPr="00BA2159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億元，同比增長</w:t>
      </w:r>
      <w:r w:rsidRPr="00BA2159">
        <w:rPr>
          <w:rFonts w:ascii="Arial" w:eastAsia="宋体" w:hAnsi="Arial" w:cs="Arial"/>
          <w:bCs/>
          <w:sz w:val="23"/>
          <w:szCs w:val="23"/>
          <w:lang w:val="en-US" w:eastAsia="zh-TW"/>
        </w:rPr>
        <w:t>9.12%</w:t>
      </w:r>
      <w:r w:rsidRPr="00BA2159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；實現淨利息收入</w:t>
      </w:r>
      <w:r w:rsidRPr="00BA2159">
        <w:rPr>
          <w:rFonts w:ascii="Arial" w:eastAsia="宋体" w:hAnsi="Arial" w:cs="Arial"/>
          <w:bCs/>
          <w:sz w:val="23"/>
          <w:szCs w:val="23"/>
          <w:lang w:val="en-US" w:eastAsia="zh-TW"/>
        </w:rPr>
        <w:t>1,089.96</w:t>
      </w:r>
      <w:r w:rsidRPr="00BA2159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億元，同比增長</w:t>
      </w:r>
      <w:r w:rsidRPr="00BA2159">
        <w:rPr>
          <w:rFonts w:ascii="Arial" w:eastAsia="宋体" w:hAnsi="Arial" w:cs="Arial"/>
          <w:bCs/>
          <w:sz w:val="23"/>
          <w:szCs w:val="23"/>
          <w:lang w:val="en-US" w:eastAsia="zh-TW"/>
        </w:rPr>
        <w:t>1.21%</w:t>
      </w:r>
      <w:r w:rsidRPr="00BA2159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；實現非利息淨收入</w:t>
      </w:r>
      <w:r w:rsidRPr="00BA2159">
        <w:rPr>
          <w:rFonts w:ascii="Arial" w:eastAsia="宋体" w:hAnsi="Arial" w:cs="Arial"/>
          <w:bCs/>
          <w:sz w:val="23"/>
          <w:szCs w:val="23"/>
          <w:lang w:val="en-US" w:eastAsia="zh-TW"/>
        </w:rPr>
        <w:t>694.69</w:t>
      </w:r>
      <w:r w:rsidRPr="00BA2159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億元，同比減少</w:t>
      </w:r>
      <w:r w:rsidRPr="00BA2159">
        <w:rPr>
          <w:rFonts w:ascii="Arial" w:eastAsia="宋体" w:hAnsi="Arial" w:cs="Arial"/>
          <w:bCs/>
          <w:sz w:val="23"/>
          <w:szCs w:val="23"/>
          <w:lang w:val="en-US" w:eastAsia="zh-TW"/>
        </w:rPr>
        <w:t>2.68%</w:t>
      </w:r>
      <w:r w:rsidRPr="002B359D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（</w:t>
      </w:r>
      <w:r w:rsidRPr="005B0450">
        <w:rPr>
          <w:rFonts w:ascii="Arial" w:eastAsia="宋体" w:hAnsi="Arial" w:cs="Arial"/>
          <w:bCs/>
          <w:sz w:val="23"/>
          <w:szCs w:val="23"/>
          <w:lang w:val="en-US" w:eastAsia="zh-TW"/>
        </w:rPr>
        <w:t>A</w:t>
      </w:r>
      <w:r w:rsidRPr="005B0450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股：非利息淨收入</w:t>
      </w:r>
      <w:r w:rsidR="002B359D" w:rsidRPr="002B359D">
        <w:rPr>
          <w:rFonts w:ascii="Arial" w:eastAsia="宋体" w:hAnsi="Arial" w:cs="Arial"/>
          <w:bCs/>
          <w:sz w:val="23"/>
          <w:szCs w:val="23"/>
          <w:lang w:val="en-US" w:eastAsia="zh-TW"/>
        </w:rPr>
        <w:t>694.64</w:t>
      </w:r>
      <w:r w:rsidRPr="00351984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億元，同比減少</w:t>
      </w:r>
      <w:r w:rsidR="002B359D" w:rsidRPr="002B359D">
        <w:rPr>
          <w:rFonts w:ascii="Arial" w:eastAsia="宋体" w:hAnsi="Arial" w:cs="Arial"/>
          <w:bCs/>
          <w:sz w:val="23"/>
          <w:szCs w:val="23"/>
          <w:lang w:val="en-US" w:eastAsia="zh-TW"/>
        </w:rPr>
        <w:t>2.71%</w:t>
      </w:r>
      <w:r w:rsidRPr="00BA2159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）；年化後歸屬于本行股東的平均總資產收益率</w:t>
      </w:r>
      <w:r w:rsidR="00F07A04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（</w:t>
      </w:r>
      <w:r w:rsidR="00F07A04" w:rsidRPr="00BA2159">
        <w:rPr>
          <w:rFonts w:ascii="Arial" w:eastAsia="宋体" w:hAnsi="Arial" w:cs="Arial"/>
          <w:bCs/>
          <w:sz w:val="23"/>
          <w:szCs w:val="23"/>
          <w:lang w:val="en-US" w:eastAsia="zh-TW"/>
        </w:rPr>
        <w:t>ROAA</w:t>
      </w:r>
      <w:r w:rsidR="00F07A04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）</w:t>
      </w:r>
      <w:r w:rsidRPr="00BA2159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和年化後歸屬于本行普通股股東的平均淨資產收益率</w:t>
      </w:r>
      <w:r w:rsidR="00F07A04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（</w:t>
      </w:r>
      <w:r w:rsidR="00F07A04" w:rsidRPr="00BA2159">
        <w:rPr>
          <w:rFonts w:ascii="Arial" w:eastAsia="宋体" w:hAnsi="Arial" w:cs="Arial"/>
          <w:bCs/>
          <w:sz w:val="23"/>
          <w:szCs w:val="23"/>
          <w:lang w:val="en-US" w:eastAsia="zh-TW"/>
        </w:rPr>
        <w:t>ROAE</w:t>
      </w:r>
      <w:r w:rsidR="00F07A04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）</w:t>
      </w:r>
      <w:r w:rsidRPr="00BA2159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分別為</w:t>
      </w:r>
      <w:r w:rsidRPr="00BA2159">
        <w:rPr>
          <w:rFonts w:ascii="Arial" w:eastAsia="宋体" w:hAnsi="Arial" w:cs="Arial"/>
          <w:bCs/>
          <w:sz w:val="23"/>
          <w:szCs w:val="23"/>
          <w:lang w:val="en-US" w:eastAsia="zh-TW"/>
        </w:rPr>
        <w:t>1.45%</w:t>
      </w:r>
      <w:r w:rsidRPr="00BA2159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和</w:t>
      </w:r>
      <w:r w:rsidRPr="00BA2159">
        <w:rPr>
          <w:rFonts w:ascii="Arial" w:eastAsia="宋体" w:hAnsi="Arial" w:cs="Arial"/>
          <w:bCs/>
          <w:sz w:val="23"/>
          <w:szCs w:val="23"/>
          <w:lang w:val="en-US" w:eastAsia="zh-TW"/>
        </w:rPr>
        <w:t>17.55%</w:t>
      </w:r>
      <w:r w:rsidRPr="00BA2159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，同比分別下降</w:t>
      </w:r>
      <w:r w:rsidRPr="00BA2159">
        <w:rPr>
          <w:rFonts w:ascii="Arial" w:eastAsia="宋体" w:hAnsi="Arial" w:cs="Arial"/>
          <w:bCs/>
          <w:sz w:val="23"/>
          <w:szCs w:val="23"/>
          <w:lang w:val="en-US" w:eastAsia="zh-TW"/>
        </w:rPr>
        <w:t>0.01</w:t>
      </w:r>
      <w:r w:rsidRPr="00BA2159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和</w:t>
      </w:r>
      <w:r w:rsidRPr="00BA2159">
        <w:rPr>
          <w:rFonts w:ascii="Arial" w:eastAsia="宋体" w:hAnsi="Arial" w:cs="Arial"/>
          <w:bCs/>
          <w:sz w:val="23"/>
          <w:szCs w:val="23"/>
          <w:lang w:val="en-US" w:eastAsia="zh-TW"/>
        </w:rPr>
        <w:t>0.52</w:t>
      </w:r>
      <w:r w:rsidRPr="00BA2159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個百分點。</w:t>
      </w:r>
    </w:p>
    <w:p w14:paraId="4E005631" w14:textId="77777777" w:rsidR="00061E17" w:rsidRPr="00CF4670" w:rsidRDefault="00061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宋体" w:hAnsi="Arial" w:cs="Arial"/>
          <w:bCs/>
          <w:sz w:val="23"/>
          <w:szCs w:val="23"/>
          <w:lang w:val="en-US" w:eastAsia="zh-TW"/>
        </w:rPr>
      </w:pPr>
    </w:p>
    <w:p w14:paraId="7DF778ED" w14:textId="77FB72D8" w:rsidR="00061E17" w:rsidRPr="00CF4670" w:rsidRDefault="0091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宋体" w:hAnsi="Arial" w:cs="Arial"/>
          <w:bCs/>
          <w:sz w:val="23"/>
          <w:szCs w:val="23"/>
          <w:lang w:val="en-US" w:eastAsia="zh-TW"/>
        </w:rPr>
      </w:pPr>
      <w:r w:rsidRPr="00916586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截至報告期末，本集團資產總額</w:t>
      </w:r>
      <w:r w:rsidRPr="00916586">
        <w:rPr>
          <w:rFonts w:ascii="Arial" w:eastAsia="宋体" w:hAnsi="Arial" w:cs="Arial"/>
          <w:bCs/>
          <w:sz w:val="23"/>
          <w:szCs w:val="23"/>
          <w:lang w:val="en-US" w:eastAsia="zh-TW"/>
        </w:rPr>
        <w:t>107,398.36</w:t>
      </w:r>
      <w:r w:rsidRPr="00916586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億元，較上年末增長</w:t>
      </w:r>
      <w:r w:rsidRPr="00916586">
        <w:rPr>
          <w:rFonts w:ascii="Arial" w:eastAsia="宋体" w:hAnsi="Arial" w:cs="Arial"/>
          <w:bCs/>
          <w:sz w:val="23"/>
          <w:szCs w:val="23"/>
          <w:lang w:val="en-US" w:eastAsia="zh-TW"/>
        </w:rPr>
        <w:t>5.93%</w:t>
      </w:r>
      <w:r w:rsidRPr="00916586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；貸款和墊款總額</w:t>
      </w:r>
      <w:r w:rsidRPr="00916586">
        <w:rPr>
          <w:rFonts w:ascii="Arial" w:eastAsia="宋体" w:hAnsi="Arial" w:cs="Arial"/>
          <w:bCs/>
          <w:sz w:val="23"/>
          <w:szCs w:val="23"/>
          <w:lang w:val="en-US" w:eastAsia="zh-TW"/>
        </w:rPr>
        <w:t>63,554.39</w:t>
      </w:r>
      <w:r w:rsidRPr="00916586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億元，較上年末增長</w:t>
      </w:r>
      <w:r w:rsidRPr="00916586">
        <w:rPr>
          <w:rFonts w:ascii="Arial" w:eastAsia="宋体" w:hAnsi="Arial" w:cs="Arial"/>
          <w:bCs/>
          <w:sz w:val="23"/>
          <w:szCs w:val="23"/>
          <w:lang w:val="en-US" w:eastAsia="zh-TW"/>
        </w:rPr>
        <w:t>5.02%</w:t>
      </w:r>
      <w:r w:rsidRPr="00916586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；負債總額</w:t>
      </w:r>
      <w:r w:rsidRPr="00916586">
        <w:rPr>
          <w:rFonts w:ascii="Arial" w:eastAsia="宋体" w:hAnsi="Arial" w:cs="Arial"/>
          <w:bCs/>
          <w:sz w:val="23"/>
          <w:szCs w:val="23"/>
          <w:lang w:val="en-US" w:eastAsia="zh-TW"/>
        </w:rPr>
        <w:t>97,539.23</w:t>
      </w:r>
      <w:r w:rsidRPr="00916586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億元，較上年末增長</w:t>
      </w:r>
      <w:r w:rsidRPr="00916586">
        <w:rPr>
          <w:rFonts w:ascii="Arial" w:eastAsia="宋体" w:hAnsi="Arial" w:cs="Arial"/>
          <w:bCs/>
          <w:sz w:val="23"/>
          <w:szCs w:val="23"/>
          <w:lang w:val="en-US" w:eastAsia="zh-TW"/>
        </w:rPr>
        <w:t>6.20%</w:t>
      </w:r>
      <w:r w:rsidRPr="00916586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；客戶存款總額</w:t>
      </w:r>
      <w:r w:rsidRPr="00916586">
        <w:rPr>
          <w:rFonts w:ascii="Arial" w:eastAsia="宋体" w:hAnsi="Arial" w:cs="Arial"/>
          <w:bCs/>
          <w:sz w:val="23"/>
          <w:szCs w:val="23"/>
          <w:lang w:val="en-US" w:eastAsia="zh-TW"/>
        </w:rPr>
        <w:t>80,302.32</w:t>
      </w:r>
      <w:r w:rsidRPr="00916586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億元，較上年末增長</w:t>
      </w:r>
      <w:r w:rsidRPr="00916586">
        <w:rPr>
          <w:rFonts w:ascii="Arial" w:eastAsia="宋体" w:hAnsi="Arial" w:cs="Arial"/>
          <w:bCs/>
          <w:sz w:val="23"/>
          <w:szCs w:val="23"/>
          <w:lang w:val="en-US" w:eastAsia="zh-TW"/>
        </w:rPr>
        <w:t>6.56%</w:t>
      </w:r>
      <w:r w:rsidRPr="00916586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。本集團高級法下核心一級資本充足率、一級資本充足率和資本充足率分別為</w:t>
      </w:r>
      <w:r w:rsidRPr="00916586">
        <w:rPr>
          <w:rFonts w:ascii="Arial" w:eastAsia="宋体" w:hAnsi="Arial" w:cs="Arial"/>
          <w:bCs/>
          <w:sz w:val="23"/>
          <w:szCs w:val="23"/>
          <w:lang w:val="en-US" w:eastAsia="zh-TW"/>
        </w:rPr>
        <w:t>13.09%</w:t>
      </w:r>
      <w:r w:rsidRPr="00916586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、</w:t>
      </w:r>
      <w:r w:rsidRPr="00916586">
        <w:rPr>
          <w:rFonts w:ascii="Arial" w:eastAsia="宋体" w:hAnsi="Arial" w:cs="Arial"/>
          <w:bCs/>
          <w:sz w:val="23"/>
          <w:szCs w:val="23"/>
          <w:lang w:val="en-US" w:eastAsia="zh-TW"/>
        </w:rPr>
        <w:t>14.99%</w:t>
      </w:r>
      <w:r w:rsidRPr="00916586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和</w:t>
      </w:r>
      <w:r w:rsidRPr="00916586">
        <w:rPr>
          <w:rFonts w:ascii="Arial" w:eastAsia="宋体" w:hAnsi="Arial" w:cs="Arial"/>
          <w:bCs/>
          <w:sz w:val="23"/>
          <w:szCs w:val="23"/>
          <w:lang w:val="en-US" w:eastAsia="zh-TW"/>
        </w:rPr>
        <w:t>17.09%</w:t>
      </w:r>
      <w:r w:rsidRPr="00916586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，較上年末分別下降</w:t>
      </w:r>
      <w:r w:rsidRPr="00916586">
        <w:rPr>
          <w:rFonts w:ascii="Arial" w:eastAsia="宋体" w:hAnsi="Arial" w:cs="Arial"/>
          <w:bCs/>
          <w:sz w:val="23"/>
          <w:szCs w:val="23"/>
          <w:lang w:val="en-US" w:eastAsia="zh-TW"/>
        </w:rPr>
        <w:t>0.59</w:t>
      </w:r>
      <w:r w:rsidRPr="00916586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、</w:t>
      </w:r>
      <w:r w:rsidRPr="00916586">
        <w:rPr>
          <w:rFonts w:ascii="Arial" w:eastAsia="宋体" w:hAnsi="Arial" w:cs="Arial"/>
          <w:bCs/>
          <w:sz w:val="23"/>
          <w:szCs w:val="23"/>
          <w:lang w:val="en-US" w:eastAsia="zh-TW"/>
        </w:rPr>
        <w:t>0.76</w:t>
      </w:r>
      <w:r w:rsidRPr="00916586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和</w:t>
      </w:r>
      <w:r w:rsidRPr="00916586">
        <w:rPr>
          <w:rFonts w:ascii="Arial" w:eastAsia="宋体" w:hAnsi="Arial" w:cs="Arial"/>
          <w:bCs/>
          <w:sz w:val="23"/>
          <w:szCs w:val="23"/>
          <w:lang w:val="en-US" w:eastAsia="zh-TW"/>
        </w:rPr>
        <w:t>0.68</w:t>
      </w:r>
      <w:r w:rsidRPr="00916586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個百分點；本集團權重法下核心一級資本充足率、一級資本充足率和資本充足率分別為</w:t>
      </w:r>
      <w:r w:rsidRPr="00916586">
        <w:rPr>
          <w:rFonts w:ascii="Arial" w:eastAsia="宋体" w:hAnsi="Arial" w:cs="Arial"/>
          <w:bCs/>
          <w:sz w:val="23"/>
          <w:szCs w:val="23"/>
          <w:lang w:val="en-US" w:eastAsia="zh-TW"/>
        </w:rPr>
        <w:t>11.16%</w:t>
      </w:r>
      <w:r w:rsidRPr="00916586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、</w:t>
      </w:r>
      <w:r w:rsidRPr="00916586">
        <w:rPr>
          <w:rFonts w:ascii="Arial" w:eastAsia="宋体" w:hAnsi="Arial" w:cs="Arial"/>
          <w:bCs/>
          <w:sz w:val="23"/>
          <w:szCs w:val="23"/>
          <w:lang w:val="en-US" w:eastAsia="zh-TW"/>
        </w:rPr>
        <w:t>12.78%</w:t>
      </w:r>
      <w:r w:rsidRPr="00916586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和</w:t>
      </w:r>
      <w:r w:rsidRPr="00916586">
        <w:rPr>
          <w:rFonts w:ascii="Arial" w:eastAsia="宋体" w:hAnsi="Arial" w:cs="Arial"/>
          <w:bCs/>
          <w:sz w:val="23"/>
          <w:szCs w:val="23"/>
          <w:lang w:val="en-US" w:eastAsia="zh-TW"/>
        </w:rPr>
        <w:t>14.19%</w:t>
      </w:r>
      <w:r w:rsidRPr="00916586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，較上年末分別下降</w:t>
      </w:r>
      <w:r w:rsidRPr="00916586">
        <w:rPr>
          <w:rFonts w:ascii="Arial" w:eastAsia="宋体" w:hAnsi="Arial" w:cs="Arial"/>
          <w:bCs/>
          <w:sz w:val="23"/>
          <w:szCs w:val="23"/>
          <w:lang w:val="en-US" w:eastAsia="zh-TW"/>
        </w:rPr>
        <w:t>0.36</w:t>
      </w:r>
      <w:r w:rsidRPr="00916586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、</w:t>
      </w:r>
      <w:r w:rsidRPr="00916586">
        <w:rPr>
          <w:rFonts w:ascii="Arial" w:eastAsia="宋体" w:hAnsi="Arial" w:cs="Arial"/>
          <w:bCs/>
          <w:sz w:val="23"/>
          <w:szCs w:val="23"/>
          <w:lang w:val="en-US" w:eastAsia="zh-TW"/>
        </w:rPr>
        <w:t>0.47</w:t>
      </w:r>
      <w:r w:rsidRPr="00916586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和</w:t>
      </w:r>
      <w:r w:rsidRPr="00916586">
        <w:rPr>
          <w:rFonts w:ascii="Arial" w:eastAsia="宋体" w:hAnsi="Arial" w:cs="Arial"/>
          <w:bCs/>
          <w:sz w:val="23"/>
          <w:szCs w:val="23"/>
          <w:lang w:val="en-US" w:eastAsia="zh-TW"/>
        </w:rPr>
        <w:t>0.49</w:t>
      </w:r>
      <w:r w:rsidRPr="00916586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個百分點。如果剔除分紅因素影響，各級資本充足率仍保持上升。</w:t>
      </w:r>
    </w:p>
    <w:p w14:paraId="19E72837" w14:textId="77777777" w:rsidR="00061E17" w:rsidRPr="00CF4670" w:rsidRDefault="00061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宋体" w:hAnsi="Arial" w:cs="Arial"/>
          <w:bCs/>
          <w:sz w:val="23"/>
          <w:szCs w:val="23"/>
          <w:lang w:val="en-US" w:eastAsia="zh-TW"/>
        </w:rPr>
      </w:pPr>
    </w:p>
    <w:p w14:paraId="53FE933B" w14:textId="03C7A703" w:rsidR="00061E17" w:rsidRPr="00916586" w:rsidRDefault="0091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宋体" w:hAnsi="Arial" w:cs="Arial"/>
          <w:bCs/>
          <w:sz w:val="23"/>
          <w:szCs w:val="23"/>
          <w:lang w:val="en-US" w:eastAsia="zh-TW"/>
        </w:rPr>
      </w:pPr>
      <w:r w:rsidRPr="00916586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截至報告期末，本集團不良貸款餘額</w:t>
      </w:r>
      <w:r w:rsidRPr="00916586">
        <w:rPr>
          <w:rFonts w:ascii="Arial" w:eastAsia="宋体" w:hAnsi="Arial" w:cs="Arial"/>
          <w:bCs/>
          <w:sz w:val="23"/>
          <w:szCs w:val="23"/>
          <w:lang w:val="en-US" w:eastAsia="zh-TW"/>
        </w:rPr>
        <w:t>606.41</w:t>
      </w:r>
      <w:r w:rsidRPr="00916586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億元，較上年末增加</w:t>
      </w:r>
      <w:r w:rsidRPr="00916586">
        <w:rPr>
          <w:rFonts w:ascii="Arial" w:eastAsia="宋体" w:hAnsi="Arial" w:cs="Arial"/>
          <w:bCs/>
          <w:sz w:val="23"/>
          <w:szCs w:val="23"/>
          <w:lang w:val="en-US" w:eastAsia="zh-TW"/>
        </w:rPr>
        <w:t>26.37</w:t>
      </w:r>
      <w:r w:rsidRPr="00916586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億元；不良貸款率</w:t>
      </w:r>
      <w:r w:rsidRPr="00916586">
        <w:rPr>
          <w:rFonts w:ascii="Arial" w:eastAsia="宋体" w:hAnsi="Arial" w:cs="Arial"/>
          <w:bCs/>
          <w:sz w:val="23"/>
          <w:szCs w:val="23"/>
          <w:lang w:val="en-US" w:eastAsia="zh-TW"/>
        </w:rPr>
        <w:t>0.95%</w:t>
      </w:r>
      <w:r w:rsidRPr="00916586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，較上年末下降</w:t>
      </w:r>
      <w:r w:rsidRPr="00916586">
        <w:rPr>
          <w:rFonts w:ascii="Arial" w:eastAsia="宋体" w:hAnsi="Arial" w:cs="Arial"/>
          <w:bCs/>
          <w:sz w:val="23"/>
          <w:szCs w:val="23"/>
          <w:lang w:val="en-US" w:eastAsia="zh-TW"/>
        </w:rPr>
        <w:t>0.01</w:t>
      </w:r>
      <w:r w:rsidRPr="00916586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個百分點；撥備覆蓋率</w:t>
      </w:r>
      <w:r w:rsidRPr="00916586">
        <w:rPr>
          <w:rFonts w:ascii="Arial" w:eastAsia="宋体" w:hAnsi="Arial" w:cs="Arial"/>
          <w:bCs/>
          <w:sz w:val="23"/>
          <w:szCs w:val="23"/>
          <w:lang w:val="en-US" w:eastAsia="zh-TW"/>
        </w:rPr>
        <w:t>447.63%</w:t>
      </w:r>
      <w:r w:rsidRPr="00916586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，較上年末下降</w:t>
      </w:r>
      <w:r w:rsidRPr="00916586">
        <w:rPr>
          <w:rFonts w:ascii="Arial" w:eastAsia="宋体" w:hAnsi="Arial" w:cs="Arial"/>
          <w:bCs/>
          <w:sz w:val="23"/>
          <w:szCs w:val="23"/>
          <w:lang w:val="en-US" w:eastAsia="zh-TW"/>
        </w:rPr>
        <w:t>3.16</w:t>
      </w:r>
      <w:r w:rsidRPr="00916586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個百分點；貸款撥備率</w:t>
      </w:r>
      <w:r w:rsidRPr="00916586">
        <w:rPr>
          <w:rFonts w:ascii="Arial" w:eastAsia="宋体" w:hAnsi="Arial" w:cs="Arial"/>
          <w:bCs/>
          <w:sz w:val="23"/>
          <w:szCs w:val="23"/>
          <w:lang w:val="en-US" w:eastAsia="zh-TW"/>
        </w:rPr>
        <w:t>4.27%</w:t>
      </w:r>
      <w:r w:rsidRPr="00916586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，較上年末下降</w:t>
      </w:r>
      <w:r w:rsidRPr="00916586">
        <w:rPr>
          <w:rFonts w:ascii="Arial" w:eastAsia="宋体" w:hAnsi="Arial" w:cs="Arial"/>
          <w:bCs/>
          <w:sz w:val="23"/>
          <w:szCs w:val="23"/>
          <w:lang w:val="en-US" w:eastAsia="zh-TW"/>
        </w:rPr>
        <w:t>0.05</w:t>
      </w:r>
      <w:r w:rsidRPr="00916586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個百分點。</w:t>
      </w:r>
    </w:p>
    <w:p w14:paraId="686322AF" w14:textId="77777777" w:rsidR="00061E17" w:rsidRPr="00CF4670" w:rsidRDefault="007C1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宋体" w:hAnsi="Arial" w:cs="Arial"/>
          <w:kern w:val="2"/>
          <w:sz w:val="23"/>
          <w:szCs w:val="23"/>
          <w:lang w:val="en-US" w:eastAsia="zh-TW"/>
        </w:rPr>
      </w:pPr>
      <w:r w:rsidRPr="00CF4670">
        <w:rPr>
          <w:rFonts w:ascii="Arial" w:eastAsia="宋体" w:hAnsi="Arial" w:cs="Arial"/>
          <w:b/>
          <w:noProof/>
          <w:kern w:val="2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5AEF18" wp14:editId="17932843">
                <wp:simplePos x="0" y="0"/>
                <wp:positionH relativeFrom="column">
                  <wp:posOffset>-23495</wp:posOffset>
                </wp:positionH>
                <wp:positionV relativeFrom="paragraph">
                  <wp:posOffset>193040</wp:posOffset>
                </wp:positionV>
                <wp:extent cx="1750060" cy="304800"/>
                <wp:effectExtent l="0" t="0" r="2540" b="0"/>
                <wp:wrapNone/>
                <wp:docPr id="10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207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0000"/>
                            </a:gs>
                            <a:gs pos="100000">
                              <a:srgbClr val="FF00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ectangle: Rounded Corners 10" o:spid="_x0000_s1026" o:spt="2" style="position:absolute;left:0pt;margin-left:-1.85pt;margin-top:15.2pt;height:24pt;width:137.8pt;z-index:-251654144;mso-width-relative:page;mso-height-relative:page;" fillcolor="#FF0000" filled="t" stroked="f" coordsize="21600,21600" arcsize="0.166666666666667" o:gfxdata="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voWvkNcAAAAIAQAADwAAAAAAAAABACAAAAAiAAAAZHJzL2Rvd25y&#10;ZXYueG1sUEsBAhQAFAAAAAgAh07iQD6KwNFxAgAA4QQAAA4AAAAAAAAAAQAgAAAAJgEAAGRycy9l&#10;Mm9Eb2MueG1sUEsFBgAAAAAGAAYAWQEAAAkGAAAAAA==&#10;">
                <v:fill type="gradient" on="t" color2="#FFCCCC" angle="45" focus="100%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 w14:paraId="3E369520" w14:textId="1D5EDDEE" w:rsidR="00061E17" w:rsidRPr="00C11914" w:rsidRDefault="00C11914">
      <w:pPr>
        <w:widowControl w:val="0"/>
        <w:spacing w:after="0" w:line="240" w:lineRule="auto"/>
        <w:jc w:val="both"/>
        <w:rPr>
          <w:rFonts w:ascii="Arial" w:eastAsia="宋体" w:hAnsi="Arial" w:cs="Arial"/>
          <w:b/>
          <w:kern w:val="2"/>
          <w:sz w:val="23"/>
          <w:szCs w:val="23"/>
          <w:lang w:val="en-US" w:eastAsia="zh-TW"/>
        </w:rPr>
      </w:pPr>
      <w:r w:rsidRPr="00C11914">
        <w:rPr>
          <w:rFonts w:ascii="Arial" w:eastAsia="宋体" w:hAnsi="Arial" w:cs="Arial" w:hint="eastAsia"/>
          <w:b/>
          <w:kern w:val="2"/>
          <w:sz w:val="23"/>
          <w:szCs w:val="23"/>
          <w:lang w:val="en-US" w:eastAsia="zh-TW"/>
        </w:rPr>
        <w:t>二、本公司業務運作情況</w:t>
      </w:r>
    </w:p>
    <w:p w14:paraId="4F03C8A3" w14:textId="77777777" w:rsidR="00061E17" w:rsidRPr="00CF4670" w:rsidRDefault="00061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宋体" w:hAnsi="Arial" w:cs="Arial"/>
          <w:b/>
          <w:sz w:val="23"/>
          <w:szCs w:val="23"/>
          <w:lang w:val="en-US" w:eastAsia="zh-TW"/>
        </w:rPr>
      </w:pPr>
    </w:p>
    <w:p w14:paraId="5F34F126" w14:textId="657E8AEB" w:rsidR="00061E17" w:rsidRPr="00916586" w:rsidRDefault="0091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宋体" w:hAnsi="Arial" w:cs="Arial"/>
          <w:bCs/>
          <w:sz w:val="23"/>
          <w:szCs w:val="23"/>
          <w:lang w:val="en-US" w:eastAsia="zh-TW"/>
        </w:rPr>
      </w:pPr>
      <w:r w:rsidRPr="00916586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報告期內，本公司圍繞</w:t>
      </w:r>
      <w:r w:rsidRPr="00916586">
        <w:rPr>
          <w:rFonts w:ascii="Arial" w:eastAsia="宋体" w:hAnsi="Arial" w:cs="Arial"/>
          <w:kern w:val="2"/>
          <w:sz w:val="23"/>
          <w:szCs w:val="23"/>
          <w:lang w:val="en-US" w:eastAsia="zh-TW"/>
        </w:rPr>
        <w:t>「</w:t>
      </w:r>
      <w:r w:rsidRPr="00916586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價值銀行</w:t>
      </w:r>
      <w:r w:rsidRPr="00916586">
        <w:rPr>
          <w:rFonts w:ascii="Arial" w:eastAsia="宋体" w:hAnsi="Arial" w:cs="Arial"/>
          <w:kern w:val="2"/>
          <w:sz w:val="23"/>
          <w:szCs w:val="23"/>
          <w:lang w:val="en-US" w:eastAsia="zh-TW"/>
        </w:rPr>
        <w:t>」</w:t>
      </w:r>
      <w:r w:rsidRPr="00916586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戰略目標，堅持</w:t>
      </w:r>
      <w:r w:rsidRPr="00916586">
        <w:rPr>
          <w:rFonts w:ascii="Arial" w:eastAsia="宋体" w:hAnsi="Arial" w:cs="Arial"/>
          <w:kern w:val="2"/>
          <w:sz w:val="23"/>
          <w:szCs w:val="23"/>
          <w:lang w:val="en-US" w:eastAsia="zh-TW"/>
        </w:rPr>
        <w:t>「</w:t>
      </w:r>
      <w:r w:rsidR="00C11914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質量</w:t>
      </w:r>
      <w:r w:rsidRPr="00916586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為本、效益優先、規模適度、結構合理</w:t>
      </w:r>
      <w:r w:rsidRPr="00916586">
        <w:rPr>
          <w:rFonts w:ascii="Arial" w:eastAsia="宋体" w:hAnsi="Arial" w:cs="Arial"/>
          <w:kern w:val="2"/>
          <w:sz w:val="23"/>
          <w:szCs w:val="23"/>
          <w:lang w:val="en-US" w:eastAsia="zh-TW"/>
        </w:rPr>
        <w:t>」</w:t>
      </w:r>
      <w:r w:rsidRPr="00916586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，聚焦價值創造不斷提升核心競爭力。</w:t>
      </w:r>
    </w:p>
    <w:p w14:paraId="0D143A24" w14:textId="77777777" w:rsidR="00061E17" w:rsidRPr="00CF4670" w:rsidRDefault="00061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宋体" w:hAnsi="Arial" w:cs="Arial"/>
          <w:b/>
          <w:sz w:val="23"/>
          <w:szCs w:val="23"/>
          <w:lang w:val="en-US" w:eastAsia="zh-TW"/>
        </w:rPr>
      </w:pPr>
      <w:bookmarkStart w:id="0" w:name="_Hlk17309961"/>
    </w:p>
    <w:p w14:paraId="5C0729CE" w14:textId="42A44053" w:rsidR="00061E17" w:rsidRPr="00916586" w:rsidRDefault="00916586">
      <w:pPr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宋体" w:hAnsi="Arial" w:cs="Arial"/>
          <w:b/>
          <w:bCs/>
          <w:kern w:val="2"/>
          <w:sz w:val="23"/>
          <w:szCs w:val="23"/>
          <w:lang w:val="en-US" w:eastAsia="zh-TW"/>
        </w:rPr>
      </w:pPr>
      <w:r w:rsidRPr="00916586">
        <w:rPr>
          <w:rFonts w:ascii="Arial" w:eastAsia="宋体" w:hAnsi="Arial" w:cs="Arial" w:hint="eastAsia"/>
          <w:b/>
          <w:bCs/>
          <w:kern w:val="2"/>
          <w:sz w:val="23"/>
          <w:szCs w:val="23"/>
          <w:lang w:val="en-US" w:eastAsia="zh-TW"/>
        </w:rPr>
        <w:t>零售金融體系化優勢持續鞏固</w:t>
      </w:r>
    </w:p>
    <w:p w14:paraId="3A18AD1D" w14:textId="77777777" w:rsidR="0094250E" w:rsidRDefault="0094250E" w:rsidP="0050732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宋体" w:hAnsi="Arial" w:cs="Arial"/>
          <w:color w:val="000000"/>
          <w:sz w:val="23"/>
          <w:szCs w:val="23"/>
          <w:lang w:val="en-US" w:eastAsia="zh-TW"/>
        </w:rPr>
      </w:pPr>
    </w:p>
    <w:p w14:paraId="7061D375" w14:textId="3B5218EF" w:rsidR="005654DD" w:rsidRDefault="00916586" w:rsidP="0050732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PMingLiU" w:hAnsi="Arial" w:cs="Arial"/>
          <w:color w:val="000000"/>
          <w:sz w:val="23"/>
          <w:szCs w:val="23"/>
          <w:lang w:val="en-US" w:eastAsia="zh-TW"/>
        </w:rPr>
      </w:pPr>
      <w:r w:rsidRPr="0091658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本公司始終堅守</w:t>
      </w:r>
      <w:r w:rsidRPr="00916586">
        <w:rPr>
          <w:rFonts w:ascii="Arial" w:eastAsia="宋体" w:hAnsi="Arial" w:cs="Arial" w:hint="eastAsia"/>
          <w:kern w:val="2"/>
          <w:sz w:val="23"/>
          <w:szCs w:val="23"/>
          <w:lang w:val="en-US" w:eastAsia="zh-TW"/>
        </w:rPr>
        <w:t>「</w:t>
      </w:r>
      <w:r w:rsidRPr="0091658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以客戶為中心</w:t>
      </w:r>
      <w:r w:rsidRPr="00916586">
        <w:rPr>
          <w:rFonts w:ascii="Arial" w:eastAsia="宋体" w:hAnsi="Arial" w:cs="Arial" w:hint="eastAsia"/>
          <w:kern w:val="2"/>
          <w:sz w:val="23"/>
          <w:szCs w:val="23"/>
          <w:lang w:val="en-US" w:eastAsia="zh-TW"/>
        </w:rPr>
        <w:t>」</w:t>
      </w:r>
      <w:r w:rsidRPr="0091658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的價值觀，零售客群和業務規模均保持穩定增長。截至報告期末，本公司零售客戶</w:t>
      </w:r>
      <w:r w:rsidRPr="00916586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1.90</w:t>
      </w:r>
      <w:r w:rsidRPr="0091658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億戶（含借記卡和信用卡客戶），較上年末增長</w:t>
      </w:r>
      <w:r w:rsidRPr="00916586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3.26%</w:t>
      </w:r>
      <w:r w:rsidRPr="0091658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，其中，金葵花及以上客戶（指在本公司月日均總資產在</w:t>
      </w:r>
      <w:r w:rsidRPr="00916586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50</w:t>
      </w:r>
      <w:r w:rsidRPr="0091658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萬元及以上的零售客戶）</w:t>
      </w:r>
      <w:r w:rsidRPr="00916586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444.15</w:t>
      </w:r>
      <w:r w:rsidRPr="0091658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萬戶，較上年末增長</w:t>
      </w:r>
      <w:r w:rsidRPr="00916586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7.19%</w:t>
      </w:r>
      <w:r w:rsidRPr="0091658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。本公司管理零售客戶總資產餘額</w:t>
      </w:r>
      <w:r w:rsidRPr="00916586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128,381.79</w:t>
      </w:r>
      <w:r w:rsidRPr="0091658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億元，較上年末增長</w:t>
      </w:r>
      <w:r w:rsidRPr="00916586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5.90%</w:t>
      </w:r>
      <w:r w:rsidRPr="0091658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，其中，管理金葵花及以上客戶總資產餘額</w:t>
      </w:r>
      <w:r w:rsidRPr="00916586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104,681.70</w:t>
      </w:r>
      <w:r w:rsidRPr="0091658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億元，較上年末增長</w:t>
      </w:r>
      <w:r w:rsidRPr="00916586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lastRenderedPageBreak/>
        <w:t>6.10%</w:t>
      </w:r>
      <w:r w:rsidRPr="0091658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。本公司零售客戶存款餘額</w:t>
      </w:r>
      <w:r w:rsidRPr="00916586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31,380.72</w:t>
      </w:r>
      <w:r w:rsidRPr="0091658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億元，較上年末增長</w:t>
      </w:r>
      <w:r w:rsidRPr="00916586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6.17%</w:t>
      </w:r>
      <w:r w:rsidRPr="0091658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。本公司零售客戶存款日均餘額中活期占比</w:t>
      </w:r>
      <w:r w:rsidRPr="00916586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61.12%</w:t>
      </w:r>
      <w:r w:rsidRPr="0091658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。本公司私人銀行客戶（指在本公司月日均全折人民幣總資產在</w:t>
      </w:r>
      <w:r w:rsidRPr="00916586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1,000</w:t>
      </w:r>
      <w:r w:rsidRPr="0091658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萬元及以上的零售客戶）</w:t>
      </w:r>
      <w:r w:rsidRPr="00916586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143,177</w:t>
      </w:r>
      <w:r w:rsidRPr="0091658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戶，較上年末增長</w:t>
      </w:r>
      <w:r w:rsidRPr="00916586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6.21%</w:t>
      </w:r>
      <w:r w:rsidRPr="0091658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；管理的私人銀行客戶總資產餘額較上年末增長</w:t>
      </w:r>
      <w:r w:rsidRPr="00916586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5.89%</w:t>
      </w:r>
      <w:r w:rsidRPr="0091658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；</w:t>
      </w:r>
      <w:proofErr w:type="gramStart"/>
      <w:r w:rsidRPr="0091658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戶均總資產</w:t>
      </w:r>
      <w:proofErr w:type="gramEnd"/>
      <w:r w:rsidRPr="0091658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餘額</w:t>
      </w:r>
      <w:r w:rsidRPr="00916586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2,804.91</w:t>
      </w:r>
      <w:r w:rsidRPr="0091658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萬元，較上年末減少</w:t>
      </w:r>
      <w:r w:rsidRPr="00916586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8.47</w:t>
      </w:r>
      <w:r w:rsidRPr="0091658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萬元；家族信託業務單數</w:t>
      </w:r>
      <w:proofErr w:type="gramStart"/>
      <w:r w:rsidRPr="0091658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突破萬單</w:t>
      </w:r>
      <w:proofErr w:type="gramEnd"/>
      <w:r w:rsidRPr="0091658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，業務規模較上年末增長</w:t>
      </w:r>
      <w:r w:rsidRPr="00916586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22.79%</w:t>
      </w:r>
      <w:r w:rsidRPr="0091658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。</w:t>
      </w:r>
    </w:p>
    <w:p w14:paraId="3C405806" w14:textId="77777777" w:rsidR="0029640F" w:rsidRPr="00351984" w:rsidRDefault="0029640F" w:rsidP="0050732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PMingLiU" w:hAnsi="Arial" w:cs="Arial"/>
          <w:color w:val="000000"/>
          <w:sz w:val="23"/>
          <w:szCs w:val="23"/>
          <w:lang w:val="en-US" w:eastAsia="zh-TW"/>
        </w:rPr>
      </w:pPr>
    </w:p>
    <w:p w14:paraId="1F09E3C6" w14:textId="7F1F3764" w:rsidR="00CF4670" w:rsidRPr="00DE7F15" w:rsidRDefault="00DE7F15" w:rsidP="0050732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宋体" w:hAnsi="Arial" w:cs="Arial"/>
          <w:color w:val="000000"/>
          <w:sz w:val="23"/>
          <w:szCs w:val="23"/>
          <w:lang w:val="en-HK" w:eastAsia="zh-TW"/>
        </w:rPr>
      </w:pPr>
      <w:r w:rsidRPr="00DE7F15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報告期內，本公司個人住房貸款業務積極落實國家及各地區的政策要求，堅持</w:t>
      </w:r>
      <w:proofErr w:type="gramStart"/>
      <w:r w:rsidRPr="00DE7F15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因城施策</w:t>
      </w:r>
      <w:proofErr w:type="gramEnd"/>
      <w:r w:rsidRPr="00DE7F15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，支持居民合理的</w:t>
      </w:r>
      <w:proofErr w:type="gramStart"/>
      <w:r w:rsidRPr="00DE7F15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自住購房</w:t>
      </w:r>
      <w:proofErr w:type="gramEnd"/>
      <w:r w:rsidRPr="00DE7F15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需求，實現該類業務的穩健發展。受需求下降和提前還款影響，個人住房貸款規模有所下降，為此，本公司加大一手房和二手房市場開拓力度，個人住房貸款餘額</w:t>
      </w:r>
      <w:r w:rsidRPr="00DE7F15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13,692.70</w:t>
      </w:r>
      <w:r w:rsidRPr="00DE7F15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億元，較上年末下降</w:t>
      </w:r>
      <w:r w:rsidRPr="00DE7F15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0.76%</w:t>
      </w:r>
      <w:r w:rsidRPr="00DE7F15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。在加強風險管理的前提下，</w:t>
      </w:r>
      <w:proofErr w:type="gramStart"/>
      <w:r w:rsidRPr="00DE7F15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增加小微貸款</w:t>
      </w:r>
      <w:proofErr w:type="gramEnd"/>
      <w:r w:rsidRPr="00DE7F15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和消費貸款投放，</w:t>
      </w:r>
      <w:proofErr w:type="gramStart"/>
      <w:r w:rsidRPr="00DE7F15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零售小微貸款</w:t>
      </w:r>
      <w:proofErr w:type="gramEnd"/>
      <w:r w:rsidRPr="00DE7F15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餘額</w:t>
      </w:r>
      <w:r w:rsidRPr="00DE7F15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7,093.06</w:t>
      </w:r>
      <w:r w:rsidRPr="00DE7F15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億元，較上年末增長</w:t>
      </w:r>
      <w:r w:rsidRPr="00DE7F15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12.65%</w:t>
      </w:r>
      <w:r w:rsidRPr="00DE7F15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；消費貸款餘額</w:t>
      </w:r>
      <w:r w:rsidRPr="00DE7F15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2,723.51</w:t>
      </w:r>
      <w:r w:rsidRPr="00DE7F15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億元，較上年末增長</w:t>
      </w:r>
      <w:r w:rsidRPr="00DE7F15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34.68%</w:t>
      </w:r>
      <w:r w:rsidRPr="00DE7F15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。信用卡業務保持</w:t>
      </w:r>
      <w:proofErr w:type="gramStart"/>
      <w:r w:rsidRPr="00DE7F15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平穩，</w:t>
      </w:r>
      <w:proofErr w:type="gramEnd"/>
      <w:r w:rsidRPr="00DE7F15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信用卡交易額</w:t>
      </w:r>
      <w:r w:rsidRPr="00DE7F15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23,719.81</w:t>
      </w:r>
      <w:r w:rsidRPr="00DE7F15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億元，同比下降</w:t>
      </w:r>
      <w:r w:rsidRPr="00DE7F15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0.67%</w:t>
      </w:r>
      <w:r w:rsidRPr="00DE7F15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；實現信用卡利息收入</w:t>
      </w:r>
      <w:r w:rsidRPr="00DE7F15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313.26</w:t>
      </w:r>
      <w:r w:rsidRPr="00DE7F15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億元，同比下降</w:t>
      </w:r>
      <w:r w:rsidRPr="00DE7F15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0.31%</w:t>
      </w:r>
      <w:r w:rsidRPr="00DE7F15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；實現信用卡非利息收入</w:t>
      </w:r>
      <w:r w:rsidRPr="00DE7F15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139.09</w:t>
      </w:r>
      <w:r w:rsidRPr="00DE7F15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億元，同比下降</w:t>
      </w:r>
      <w:r w:rsidRPr="00DE7F15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0.83%</w:t>
      </w:r>
      <w:r w:rsidRPr="00DE7F15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。</w:t>
      </w:r>
    </w:p>
    <w:p w14:paraId="4AC4C4F0" w14:textId="77777777" w:rsidR="00061E17" w:rsidRPr="00CF4670" w:rsidRDefault="00061E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宋体" w:hAnsi="Arial" w:cs="Arial"/>
          <w:b/>
          <w:sz w:val="23"/>
          <w:szCs w:val="23"/>
          <w:lang w:val="en-US" w:eastAsia="zh-TW"/>
        </w:rPr>
      </w:pPr>
    </w:p>
    <w:bookmarkEnd w:id="0"/>
    <w:p w14:paraId="73AE470A" w14:textId="47C35DB8" w:rsidR="00CF4670" w:rsidRPr="009653C1" w:rsidRDefault="009653C1" w:rsidP="009432A2">
      <w:pPr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宋体" w:hAnsi="Arial" w:cs="Arial"/>
          <w:b/>
          <w:bCs/>
          <w:sz w:val="23"/>
          <w:szCs w:val="23"/>
          <w:lang w:val="en-US"/>
        </w:rPr>
      </w:pPr>
      <w:r w:rsidRPr="009653C1">
        <w:rPr>
          <w:rFonts w:ascii="Arial" w:eastAsia="宋体" w:hAnsi="Arial" w:cs="Arial" w:hint="eastAsia"/>
          <w:b/>
          <w:bCs/>
          <w:sz w:val="23"/>
          <w:szCs w:val="23"/>
          <w:lang w:val="en-US" w:eastAsia="zh-TW"/>
        </w:rPr>
        <w:t>公司金融特色更加鮮明</w:t>
      </w:r>
    </w:p>
    <w:p w14:paraId="59F31520" w14:textId="77777777" w:rsidR="0094250E" w:rsidRPr="009653C1" w:rsidRDefault="0094250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宋体" w:hAnsi="Arial" w:cs="Arial"/>
          <w:b/>
          <w:bCs/>
          <w:color w:val="000000"/>
          <w:sz w:val="23"/>
          <w:szCs w:val="23"/>
          <w:lang w:val="en-US"/>
        </w:rPr>
      </w:pPr>
    </w:p>
    <w:p w14:paraId="56D5E118" w14:textId="647E7C16" w:rsidR="00CF4670" w:rsidRPr="009653C1" w:rsidRDefault="009653C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宋体" w:hAnsi="Arial" w:cs="Arial"/>
          <w:color w:val="000000"/>
          <w:sz w:val="23"/>
          <w:szCs w:val="23"/>
          <w:lang w:val="en-US" w:eastAsia="zh-TW"/>
        </w:rPr>
      </w:pPr>
      <w:r w:rsidRPr="009653C1">
        <w:rPr>
          <w:rFonts w:ascii="Arial" w:eastAsia="宋体" w:hAnsi="Arial" w:cs="Arial" w:hint="eastAsia"/>
          <w:b/>
          <w:bCs/>
          <w:color w:val="000000"/>
          <w:sz w:val="23"/>
          <w:szCs w:val="23"/>
          <w:lang w:val="en-US" w:eastAsia="zh-TW"/>
        </w:rPr>
        <w:t>持續</w:t>
      </w:r>
      <w:r>
        <w:rPr>
          <w:rFonts w:ascii="Arial" w:eastAsia="宋体" w:hAnsi="Arial" w:cs="Arial" w:hint="eastAsia"/>
          <w:b/>
          <w:bCs/>
          <w:color w:val="000000"/>
          <w:sz w:val="23"/>
          <w:szCs w:val="23"/>
          <w:lang w:val="en-US" w:eastAsia="zh-TW"/>
        </w:rPr>
        <w:t>迭代</w:t>
      </w:r>
      <w:r w:rsidRPr="009653C1">
        <w:rPr>
          <w:rFonts w:ascii="Arial" w:eastAsia="宋体" w:hAnsi="Arial" w:cs="Arial" w:hint="eastAsia"/>
          <w:b/>
          <w:bCs/>
          <w:color w:val="000000"/>
          <w:sz w:val="23"/>
          <w:szCs w:val="23"/>
          <w:lang w:val="en-US" w:eastAsia="zh-TW"/>
        </w:rPr>
        <w:t>優化分層分類服務體系，調整客戶結構和業務結構。</w:t>
      </w:r>
      <w:r w:rsidRPr="009653C1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截至報告期末，本公司公司客戶總數</w:t>
      </w:r>
      <w:r w:rsidRPr="009653C1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264.85</w:t>
      </w:r>
      <w:r w:rsidRPr="009653C1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萬戶，較上年末增長</w:t>
      </w:r>
      <w:r w:rsidRPr="009653C1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4.85%</w:t>
      </w:r>
      <w:r w:rsidRPr="009653C1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。公司客戶新開戶</w:t>
      </w:r>
      <w:r w:rsidRPr="009653C1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22.90</w:t>
      </w:r>
      <w:r w:rsidRPr="009653C1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萬戶，貢獻日均存款</w:t>
      </w:r>
      <w:r w:rsidRPr="009653C1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767.76</w:t>
      </w:r>
      <w:r w:rsidRPr="009653C1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億元，其中，日均存款</w:t>
      </w:r>
      <w:r w:rsidRPr="009653C1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50</w:t>
      </w:r>
      <w:r w:rsidRPr="009653C1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萬元以上的新開戶</w:t>
      </w:r>
      <w:r w:rsidRPr="009653C1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1.02</w:t>
      </w:r>
      <w:r w:rsidRPr="009653C1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萬戶。本公司公司客戶融資總量（</w:t>
      </w:r>
      <w:r w:rsidRPr="009653C1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FPA</w:t>
      </w:r>
      <w:r w:rsidRPr="009653C1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）餘額</w:t>
      </w:r>
      <w:r w:rsidRPr="009653C1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54,977.00</w:t>
      </w:r>
      <w:r w:rsidRPr="009653C1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</w:t>
      </w:r>
      <w:r w:rsidR="00CF4670" w:rsidRPr="009653C1">
        <w:rPr>
          <w:rStyle w:val="af"/>
          <w:rFonts w:ascii="Arial" w:eastAsia="宋体" w:hAnsi="Arial" w:cs="Arial"/>
          <w:color w:val="000000"/>
          <w:sz w:val="23"/>
          <w:szCs w:val="23"/>
          <w:lang w:val="en-US"/>
        </w:rPr>
        <w:footnoteReference w:id="1"/>
      </w:r>
      <w:r w:rsidRPr="009653C1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，較年初增加</w:t>
      </w:r>
      <w:r w:rsidRPr="009653C1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4,095.73</w:t>
      </w:r>
      <w:r w:rsidRPr="009653C1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億元。公司客戶存款餘額</w:t>
      </w:r>
      <w:r w:rsidRPr="009653C1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45,997.71</w:t>
      </w:r>
      <w:r w:rsidRPr="009653C1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億元，較上年末增長</w:t>
      </w:r>
      <w:r w:rsidRPr="009653C1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6.51%</w:t>
      </w:r>
      <w:r w:rsidRPr="009653C1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；日均餘額</w:t>
      </w:r>
      <w:r w:rsidRPr="009653C1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44,989.11</w:t>
      </w:r>
      <w:r w:rsidRPr="009653C1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億元，較上年全年增長</w:t>
      </w:r>
      <w:r w:rsidRPr="009653C1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5.63%</w:t>
      </w:r>
      <w:r w:rsidRPr="009653C1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。</w:t>
      </w:r>
    </w:p>
    <w:p w14:paraId="1A26F21E" w14:textId="77777777" w:rsidR="00CF4670" w:rsidRPr="00CF4670" w:rsidRDefault="00CF467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宋体" w:hAnsi="Arial" w:cs="Arial"/>
          <w:b/>
          <w:bCs/>
          <w:sz w:val="23"/>
          <w:szCs w:val="23"/>
          <w:lang w:val="en-US" w:eastAsia="zh-TW"/>
        </w:rPr>
      </w:pPr>
    </w:p>
    <w:p w14:paraId="19B12650" w14:textId="1FAA8EF7" w:rsidR="00CF4670" w:rsidRPr="009653C1" w:rsidRDefault="009653C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宋体" w:hAnsi="Arial" w:cs="Arial"/>
          <w:color w:val="000000"/>
          <w:sz w:val="23"/>
          <w:szCs w:val="23"/>
          <w:lang w:val="en-US" w:eastAsia="zh-TW"/>
        </w:rPr>
      </w:pPr>
      <w:r w:rsidRPr="009653C1">
        <w:rPr>
          <w:rFonts w:ascii="Arial" w:eastAsia="宋体" w:hAnsi="Arial" w:cs="Arial" w:hint="eastAsia"/>
          <w:b/>
          <w:bCs/>
          <w:color w:val="000000"/>
          <w:sz w:val="23"/>
          <w:szCs w:val="23"/>
          <w:lang w:val="en-US" w:eastAsia="zh-TW"/>
        </w:rPr>
        <w:t>持續打造特色優勢，積極有效服務客戶。</w:t>
      </w:r>
      <w:r w:rsidRPr="009653C1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交易銀行業務方面，截至報告期末，財資管理雲服務客戶數</w:t>
      </w:r>
      <w:r w:rsidRPr="009653C1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25.48</w:t>
      </w:r>
      <w:r w:rsidRPr="009653C1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萬戶，較上年末增長</w:t>
      </w:r>
      <w:r w:rsidRPr="009653C1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41.34%</w:t>
      </w:r>
      <w:r w:rsidRPr="009653C1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。本公司函證類業務交易金額</w:t>
      </w:r>
      <w:r w:rsidRPr="009653C1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2,504.64</w:t>
      </w:r>
      <w:r w:rsidRPr="009653C1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億元，同比增長</w:t>
      </w:r>
      <w:r w:rsidRPr="009653C1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59.04%</w:t>
      </w:r>
      <w:r w:rsidRPr="009653C1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；國內貿易融資業務量</w:t>
      </w:r>
      <w:r w:rsidRPr="009653C1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5,846.47</w:t>
      </w:r>
      <w:r w:rsidRPr="009653C1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億元，同比增長</w:t>
      </w:r>
      <w:r w:rsidRPr="009653C1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56.17%</w:t>
      </w:r>
      <w:r w:rsidRPr="009653C1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；跨境金融業務方面，本公司實現對公貨物貿易涉外收支業務量</w:t>
      </w:r>
      <w:r w:rsidRPr="009653C1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813.03</w:t>
      </w:r>
      <w:r w:rsidRPr="009653C1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億美元，同比增長</w:t>
      </w:r>
      <w:r w:rsidRPr="009653C1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10.45%</w:t>
      </w:r>
      <w:r w:rsidRPr="009653C1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；供應鏈金融業務方面，本公司累計推動</w:t>
      </w:r>
      <w:r w:rsidRPr="009653C1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261</w:t>
      </w:r>
      <w:r w:rsidRPr="009653C1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個</w:t>
      </w:r>
      <w:r w:rsidRPr="009653C1">
        <w:rPr>
          <w:rFonts w:ascii="Arial" w:eastAsia="宋体" w:hAnsi="Arial" w:cs="Arial" w:hint="eastAsia"/>
          <w:kern w:val="2"/>
          <w:sz w:val="23"/>
          <w:szCs w:val="23"/>
          <w:lang w:val="en-US" w:eastAsia="zh-TW"/>
        </w:rPr>
        <w:t>「</w:t>
      </w:r>
      <w:r w:rsidRPr="009653C1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全行服務一家</w:t>
      </w:r>
      <w:r w:rsidRPr="009653C1">
        <w:rPr>
          <w:rFonts w:ascii="Arial" w:eastAsia="宋体" w:hAnsi="Arial" w:cs="Arial" w:hint="eastAsia"/>
          <w:kern w:val="2"/>
          <w:sz w:val="23"/>
          <w:szCs w:val="23"/>
          <w:lang w:val="en-US" w:eastAsia="zh-TW"/>
        </w:rPr>
        <w:t>」</w:t>
      </w:r>
      <w:r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項目</w:t>
      </w:r>
      <w:r w:rsidRPr="009653C1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，延伸服務</w:t>
      </w:r>
      <w:r w:rsidRPr="009653C1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28,271</w:t>
      </w:r>
      <w:r w:rsidRPr="009653C1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家中小企業，為其中</w:t>
      </w:r>
      <w:r w:rsidRPr="009653C1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23,783</w:t>
      </w:r>
      <w:r w:rsidRPr="009653C1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家企業提供了融資</w:t>
      </w:r>
      <w:r w:rsidR="00F07A04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支持</w:t>
      </w:r>
      <w:r w:rsidRPr="009653C1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，累計發放貸款金額</w:t>
      </w:r>
      <w:r w:rsidRPr="009653C1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3,131.98</w:t>
      </w:r>
      <w:r w:rsidRPr="009653C1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億元。</w:t>
      </w:r>
    </w:p>
    <w:p w14:paraId="6DFC332E" w14:textId="77777777" w:rsidR="00CF4670" w:rsidRPr="00CF4670" w:rsidRDefault="00CF467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宋体" w:hAnsi="Arial" w:cs="Arial"/>
          <w:color w:val="000000"/>
          <w:sz w:val="23"/>
          <w:szCs w:val="23"/>
          <w:lang w:val="en-US" w:eastAsia="zh-TW"/>
        </w:rPr>
      </w:pPr>
    </w:p>
    <w:p w14:paraId="28D99502" w14:textId="264B2E3E" w:rsidR="00CF4670" w:rsidRPr="009653C1" w:rsidRDefault="009653C1" w:rsidP="009432A2">
      <w:pPr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宋体" w:hAnsi="Arial" w:cs="Arial"/>
          <w:b/>
          <w:sz w:val="23"/>
          <w:szCs w:val="23"/>
          <w:lang w:val="en-US" w:eastAsia="zh-TW"/>
        </w:rPr>
      </w:pPr>
      <w:bookmarkStart w:id="1" w:name="_Hlk17312022"/>
      <w:bookmarkStart w:id="2" w:name="_Hlk79674593"/>
      <w:r w:rsidRPr="009653C1">
        <w:rPr>
          <w:rFonts w:ascii="Arial" w:eastAsia="宋体" w:hAnsi="Arial" w:cs="Arial" w:hint="eastAsia"/>
          <w:b/>
          <w:bCs/>
          <w:kern w:val="2"/>
          <w:sz w:val="23"/>
          <w:szCs w:val="23"/>
          <w:lang w:val="en-US" w:eastAsia="zh-TW"/>
        </w:rPr>
        <w:t>投金業務專業化能力提升</w:t>
      </w:r>
    </w:p>
    <w:p w14:paraId="2D625B2F" w14:textId="77777777" w:rsidR="0094250E" w:rsidRDefault="0094250E" w:rsidP="00CF467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宋体" w:hAnsi="Arial" w:cs="Arial"/>
          <w:sz w:val="23"/>
          <w:szCs w:val="23"/>
          <w:lang w:eastAsia="zh-TW"/>
        </w:rPr>
      </w:pPr>
    </w:p>
    <w:p w14:paraId="13BD56FD" w14:textId="76EB35E7" w:rsidR="00CF4670" w:rsidRPr="009653C1" w:rsidRDefault="009653C1" w:rsidP="00CF467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宋体" w:hAnsi="Arial" w:cs="Arial"/>
          <w:b/>
          <w:bCs/>
          <w:sz w:val="23"/>
          <w:szCs w:val="23"/>
          <w:lang w:val="en-US" w:eastAsia="zh-TW"/>
        </w:rPr>
      </w:pPr>
      <w:r w:rsidRPr="009653C1">
        <w:rPr>
          <w:rFonts w:ascii="Arial" w:eastAsia="宋体" w:hAnsi="Arial" w:cs="Arial" w:hint="eastAsia"/>
          <w:sz w:val="23"/>
          <w:szCs w:val="23"/>
          <w:lang w:eastAsia="zh-TW"/>
        </w:rPr>
        <w:t>本公司不斷提升債券承銷、並購金融等業務能力，金融市場業務自營投</w:t>
      </w:r>
      <w:proofErr w:type="gramStart"/>
      <w:r w:rsidRPr="009653C1">
        <w:rPr>
          <w:rFonts w:ascii="Arial" w:eastAsia="宋体" w:hAnsi="Arial" w:cs="Arial" w:hint="eastAsia"/>
          <w:sz w:val="23"/>
          <w:szCs w:val="23"/>
          <w:lang w:eastAsia="zh-TW"/>
        </w:rPr>
        <w:t>研</w:t>
      </w:r>
      <w:proofErr w:type="gramEnd"/>
      <w:r w:rsidRPr="009653C1">
        <w:rPr>
          <w:rFonts w:ascii="Arial" w:eastAsia="宋体" w:hAnsi="Arial" w:cs="Arial" w:hint="eastAsia"/>
          <w:sz w:val="23"/>
          <w:szCs w:val="23"/>
          <w:lang w:eastAsia="zh-TW"/>
        </w:rPr>
        <w:t>體系不斷完善，</w:t>
      </w:r>
      <w:proofErr w:type="gramStart"/>
      <w:r w:rsidRPr="009653C1">
        <w:rPr>
          <w:rFonts w:ascii="Arial" w:eastAsia="宋体" w:hAnsi="Arial" w:cs="Arial" w:hint="eastAsia"/>
          <w:sz w:val="23"/>
          <w:szCs w:val="23"/>
          <w:lang w:eastAsia="zh-TW"/>
        </w:rPr>
        <w:t>對客業務</w:t>
      </w:r>
      <w:proofErr w:type="gramEnd"/>
      <w:r w:rsidRPr="009653C1">
        <w:rPr>
          <w:rFonts w:ascii="Arial" w:eastAsia="宋体" w:hAnsi="Arial" w:cs="Arial" w:hint="eastAsia"/>
          <w:sz w:val="23"/>
          <w:szCs w:val="23"/>
          <w:lang w:eastAsia="zh-TW"/>
        </w:rPr>
        <w:t>優勢進一步鞏固。</w:t>
      </w:r>
      <w:proofErr w:type="gramStart"/>
      <w:r w:rsidRPr="009653C1">
        <w:rPr>
          <w:rFonts w:ascii="Arial" w:eastAsia="宋体" w:hAnsi="Arial" w:cs="Arial" w:hint="eastAsia"/>
          <w:sz w:val="23"/>
          <w:szCs w:val="23"/>
          <w:lang w:eastAsia="zh-TW"/>
        </w:rPr>
        <w:t>投行業務</w:t>
      </w:r>
      <w:proofErr w:type="gramEnd"/>
      <w:r w:rsidRPr="009653C1">
        <w:rPr>
          <w:rFonts w:ascii="Arial" w:eastAsia="宋体" w:hAnsi="Arial" w:cs="Arial" w:hint="eastAsia"/>
          <w:sz w:val="23"/>
          <w:szCs w:val="23"/>
          <w:lang w:eastAsia="zh-TW"/>
        </w:rPr>
        <w:t>方面，本公司主承銷債務融資工具</w:t>
      </w:r>
      <w:r w:rsidRPr="009653C1">
        <w:rPr>
          <w:rFonts w:ascii="Arial" w:eastAsia="宋体" w:hAnsi="Arial" w:cs="Arial"/>
          <w:sz w:val="23"/>
          <w:szCs w:val="23"/>
          <w:lang w:eastAsia="zh-TW"/>
        </w:rPr>
        <w:t>3,214.64</w:t>
      </w:r>
      <w:r w:rsidRPr="009653C1">
        <w:rPr>
          <w:rFonts w:ascii="Arial" w:eastAsia="宋体" w:hAnsi="Arial" w:cs="Arial" w:hint="eastAsia"/>
          <w:sz w:val="23"/>
          <w:szCs w:val="23"/>
          <w:lang w:eastAsia="zh-TW"/>
        </w:rPr>
        <w:t>億元，同業第三（中國銀行間市場交易商協會</w:t>
      </w:r>
      <w:r>
        <w:rPr>
          <w:rFonts w:ascii="Arial" w:eastAsia="宋体" w:hAnsi="Arial" w:cs="Arial" w:hint="eastAsia"/>
          <w:sz w:val="23"/>
          <w:szCs w:val="23"/>
          <w:lang w:eastAsia="zh-TW"/>
        </w:rPr>
        <w:t>數據</w:t>
      </w:r>
      <w:r w:rsidRPr="009653C1">
        <w:rPr>
          <w:rFonts w:ascii="Arial" w:eastAsia="宋体" w:hAnsi="Arial" w:cs="Arial" w:hint="eastAsia"/>
          <w:sz w:val="23"/>
          <w:szCs w:val="23"/>
          <w:lang w:eastAsia="zh-TW"/>
        </w:rPr>
        <w:t>），同比增長</w:t>
      </w:r>
      <w:r w:rsidRPr="009653C1">
        <w:rPr>
          <w:rFonts w:ascii="Arial" w:eastAsia="宋体" w:hAnsi="Arial" w:cs="Arial"/>
          <w:sz w:val="23"/>
          <w:szCs w:val="23"/>
          <w:lang w:eastAsia="zh-TW"/>
        </w:rPr>
        <w:t>4.26%</w:t>
      </w:r>
      <w:r w:rsidRPr="009653C1">
        <w:rPr>
          <w:rFonts w:ascii="Arial" w:eastAsia="宋体" w:hAnsi="Arial" w:cs="Arial" w:hint="eastAsia"/>
          <w:sz w:val="23"/>
          <w:szCs w:val="23"/>
          <w:lang w:eastAsia="zh-TW"/>
        </w:rPr>
        <w:t>。其中，</w:t>
      </w:r>
      <w:proofErr w:type="gramStart"/>
      <w:r w:rsidRPr="009653C1">
        <w:rPr>
          <w:rFonts w:ascii="Arial" w:eastAsia="宋体" w:hAnsi="Arial" w:cs="Arial" w:hint="eastAsia"/>
          <w:sz w:val="23"/>
          <w:szCs w:val="23"/>
          <w:lang w:eastAsia="zh-TW"/>
        </w:rPr>
        <w:t>永續債規模</w:t>
      </w:r>
      <w:proofErr w:type="gramEnd"/>
      <w:r w:rsidRPr="009653C1">
        <w:rPr>
          <w:rFonts w:ascii="Arial" w:eastAsia="宋体" w:hAnsi="Arial" w:cs="Arial" w:hint="eastAsia"/>
          <w:sz w:val="23"/>
          <w:szCs w:val="23"/>
          <w:lang w:eastAsia="zh-TW"/>
        </w:rPr>
        <w:t>同業第一、綠色債券</w:t>
      </w:r>
      <w:proofErr w:type="gramStart"/>
      <w:r w:rsidRPr="009653C1">
        <w:rPr>
          <w:rFonts w:ascii="Arial" w:eastAsia="宋体" w:hAnsi="Arial" w:cs="Arial" w:hint="eastAsia"/>
          <w:sz w:val="23"/>
          <w:szCs w:val="23"/>
          <w:lang w:eastAsia="zh-TW"/>
        </w:rPr>
        <w:t>和科創票據</w:t>
      </w:r>
      <w:proofErr w:type="gramEnd"/>
      <w:r w:rsidRPr="009653C1">
        <w:rPr>
          <w:rFonts w:ascii="Arial" w:eastAsia="宋体" w:hAnsi="Arial" w:cs="Arial" w:hint="eastAsia"/>
          <w:sz w:val="23"/>
          <w:szCs w:val="23"/>
          <w:lang w:eastAsia="zh-TW"/>
        </w:rPr>
        <w:t>規模同業第二、資產</w:t>
      </w:r>
      <w:r w:rsidR="00F07A04">
        <w:rPr>
          <w:rFonts w:ascii="Arial" w:eastAsia="宋体" w:hAnsi="Arial" w:cs="Arial" w:hint="eastAsia"/>
          <w:sz w:val="23"/>
          <w:szCs w:val="23"/>
          <w:lang w:eastAsia="zh-TW"/>
        </w:rPr>
        <w:t>支持</w:t>
      </w:r>
      <w:r w:rsidRPr="009653C1">
        <w:rPr>
          <w:rFonts w:ascii="Arial" w:eastAsia="宋体" w:hAnsi="Arial" w:cs="Arial" w:hint="eastAsia"/>
          <w:sz w:val="23"/>
          <w:szCs w:val="23"/>
          <w:lang w:eastAsia="zh-TW"/>
        </w:rPr>
        <w:t>票據（</w:t>
      </w:r>
      <w:r w:rsidRPr="009653C1">
        <w:rPr>
          <w:rFonts w:ascii="Arial" w:eastAsia="宋体" w:hAnsi="Arial" w:cs="Arial"/>
          <w:sz w:val="23"/>
          <w:szCs w:val="23"/>
          <w:lang w:eastAsia="zh-TW"/>
        </w:rPr>
        <w:t>ABN</w:t>
      </w:r>
      <w:r w:rsidRPr="009653C1">
        <w:rPr>
          <w:rFonts w:ascii="Arial" w:eastAsia="宋体" w:hAnsi="Arial" w:cs="Arial" w:hint="eastAsia"/>
          <w:sz w:val="23"/>
          <w:szCs w:val="23"/>
          <w:lang w:eastAsia="zh-TW"/>
        </w:rPr>
        <w:t>）規模同業第三。本公司並</w:t>
      </w:r>
      <w:r w:rsidRPr="009653C1">
        <w:rPr>
          <w:rFonts w:ascii="Arial" w:eastAsia="宋体" w:hAnsi="Arial" w:cs="Arial" w:hint="eastAsia"/>
          <w:sz w:val="23"/>
          <w:szCs w:val="23"/>
          <w:lang w:eastAsia="zh-TW"/>
        </w:rPr>
        <w:lastRenderedPageBreak/>
        <w:t>購金融業務發生額</w:t>
      </w:r>
      <w:r w:rsidRPr="009653C1">
        <w:rPr>
          <w:rFonts w:ascii="Arial" w:eastAsia="宋体" w:hAnsi="Arial" w:cs="Arial"/>
          <w:sz w:val="23"/>
          <w:szCs w:val="23"/>
          <w:lang w:eastAsia="zh-TW"/>
        </w:rPr>
        <w:t>1,333.80</w:t>
      </w:r>
      <w:r w:rsidRPr="009653C1">
        <w:rPr>
          <w:rFonts w:ascii="Arial" w:eastAsia="宋体" w:hAnsi="Arial" w:cs="Arial" w:hint="eastAsia"/>
          <w:sz w:val="23"/>
          <w:szCs w:val="23"/>
          <w:lang w:eastAsia="zh-TW"/>
        </w:rPr>
        <w:t>億元，同比增長</w:t>
      </w:r>
      <w:r w:rsidRPr="009653C1">
        <w:rPr>
          <w:rFonts w:ascii="Arial" w:eastAsia="宋体" w:hAnsi="Arial" w:cs="Arial"/>
          <w:sz w:val="23"/>
          <w:szCs w:val="23"/>
          <w:lang w:eastAsia="zh-TW"/>
        </w:rPr>
        <w:t>14.13%</w:t>
      </w:r>
      <w:r w:rsidRPr="009653C1">
        <w:rPr>
          <w:rFonts w:ascii="Arial" w:eastAsia="宋体" w:hAnsi="Arial" w:cs="Arial" w:hint="eastAsia"/>
          <w:sz w:val="23"/>
          <w:szCs w:val="23"/>
          <w:lang w:eastAsia="zh-TW"/>
        </w:rPr>
        <w:t>，落地多單具有市場影響力的重大項目，品牌優勢持續提升。票據業務方面，受票據市場整體業務量下降影響，本公司</w:t>
      </w:r>
      <w:proofErr w:type="gramStart"/>
      <w:r w:rsidRPr="009653C1">
        <w:rPr>
          <w:rFonts w:ascii="Arial" w:eastAsia="宋体" w:hAnsi="Arial" w:cs="Arial" w:hint="eastAsia"/>
          <w:sz w:val="23"/>
          <w:szCs w:val="23"/>
          <w:lang w:eastAsia="zh-TW"/>
        </w:rPr>
        <w:t>票據直貼業務</w:t>
      </w:r>
      <w:proofErr w:type="gramEnd"/>
      <w:r w:rsidRPr="009653C1">
        <w:rPr>
          <w:rFonts w:ascii="Arial" w:eastAsia="宋体" w:hAnsi="Arial" w:cs="Arial" w:hint="eastAsia"/>
          <w:sz w:val="23"/>
          <w:szCs w:val="23"/>
          <w:lang w:eastAsia="zh-TW"/>
        </w:rPr>
        <w:t>量</w:t>
      </w:r>
      <w:r w:rsidRPr="009653C1">
        <w:rPr>
          <w:rFonts w:ascii="Arial" w:eastAsia="宋体" w:hAnsi="Arial" w:cs="Arial"/>
          <w:sz w:val="23"/>
          <w:szCs w:val="23"/>
          <w:lang w:eastAsia="zh-TW"/>
        </w:rPr>
        <w:t>7,014.41</w:t>
      </w:r>
      <w:r w:rsidRPr="009653C1">
        <w:rPr>
          <w:rFonts w:ascii="Arial" w:eastAsia="宋体" w:hAnsi="Arial" w:cs="Arial" w:hint="eastAsia"/>
          <w:sz w:val="23"/>
          <w:szCs w:val="23"/>
          <w:lang w:eastAsia="zh-TW"/>
        </w:rPr>
        <w:t>億元，同比下降</w:t>
      </w:r>
      <w:r w:rsidRPr="009653C1">
        <w:rPr>
          <w:rFonts w:ascii="Arial" w:eastAsia="宋体" w:hAnsi="Arial" w:cs="Arial"/>
          <w:sz w:val="23"/>
          <w:szCs w:val="23"/>
          <w:lang w:eastAsia="zh-TW"/>
        </w:rPr>
        <w:t>16.88%</w:t>
      </w:r>
      <w:r w:rsidRPr="009653C1">
        <w:rPr>
          <w:rFonts w:ascii="Arial" w:eastAsia="宋体" w:hAnsi="Arial" w:cs="Arial" w:hint="eastAsia"/>
          <w:sz w:val="23"/>
          <w:szCs w:val="23"/>
          <w:lang w:eastAsia="zh-TW"/>
        </w:rPr>
        <w:t>，排名保持第二（中國銀行業協會</w:t>
      </w:r>
      <w:r>
        <w:rPr>
          <w:rFonts w:ascii="Arial" w:eastAsia="宋体" w:hAnsi="Arial" w:cs="Arial" w:hint="eastAsia"/>
          <w:sz w:val="23"/>
          <w:szCs w:val="23"/>
          <w:lang w:eastAsia="zh-TW"/>
        </w:rPr>
        <w:t>數據</w:t>
      </w:r>
      <w:r w:rsidRPr="009653C1">
        <w:rPr>
          <w:rFonts w:ascii="Arial" w:eastAsia="宋体" w:hAnsi="Arial" w:cs="Arial" w:hint="eastAsia"/>
          <w:sz w:val="23"/>
          <w:szCs w:val="23"/>
          <w:lang w:eastAsia="zh-TW"/>
        </w:rPr>
        <w:t>），其中，商業承兌匯票貼現業務量</w:t>
      </w:r>
      <w:r w:rsidRPr="009653C1">
        <w:rPr>
          <w:rFonts w:ascii="Arial" w:eastAsia="宋体" w:hAnsi="Arial" w:cs="Arial"/>
          <w:sz w:val="23"/>
          <w:szCs w:val="23"/>
          <w:lang w:eastAsia="zh-TW"/>
        </w:rPr>
        <w:t>826.37</w:t>
      </w:r>
      <w:r w:rsidRPr="009653C1">
        <w:rPr>
          <w:rFonts w:ascii="Arial" w:eastAsia="宋体" w:hAnsi="Arial" w:cs="Arial" w:hint="eastAsia"/>
          <w:sz w:val="23"/>
          <w:szCs w:val="23"/>
          <w:lang w:eastAsia="zh-TW"/>
        </w:rPr>
        <w:t>億元，排名第一（商業銀行票據業務聯席會</w:t>
      </w:r>
      <w:r w:rsidR="000B59D2">
        <w:rPr>
          <w:rFonts w:ascii="Arial" w:eastAsia="宋体" w:hAnsi="Arial" w:cs="Arial" w:hint="eastAsia"/>
          <w:sz w:val="23"/>
          <w:szCs w:val="23"/>
          <w:lang w:eastAsia="zh-TW"/>
        </w:rPr>
        <w:t>數據</w:t>
      </w:r>
      <w:r w:rsidRPr="009653C1">
        <w:rPr>
          <w:rFonts w:ascii="Arial" w:eastAsia="宋体" w:hAnsi="Arial" w:cs="Arial" w:hint="eastAsia"/>
          <w:sz w:val="23"/>
          <w:szCs w:val="23"/>
          <w:lang w:eastAsia="zh-TW"/>
        </w:rPr>
        <w:t>）。金融市場業務方面，人民幣債券投資交易量</w:t>
      </w:r>
      <w:r w:rsidRPr="009653C1">
        <w:rPr>
          <w:rFonts w:ascii="Arial" w:eastAsia="宋体" w:hAnsi="Arial" w:cs="Arial"/>
          <w:sz w:val="23"/>
          <w:szCs w:val="23"/>
          <w:lang w:eastAsia="zh-TW"/>
        </w:rPr>
        <w:t>1.38</w:t>
      </w:r>
      <w:r w:rsidRPr="009653C1">
        <w:rPr>
          <w:rFonts w:ascii="Arial" w:eastAsia="宋体" w:hAnsi="Arial" w:cs="Arial" w:hint="eastAsia"/>
          <w:sz w:val="23"/>
          <w:szCs w:val="23"/>
          <w:lang w:eastAsia="zh-TW"/>
        </w:rPr>
        <w:t>萬億元，同比增長</w:t>
      </w:r>
      <w:r w:rsidRPr="009653C1">
        <w:rPr>
          <w:rFonts w:ascii="Arial" w:eastAsia="宋体" w:hAnsi="Arial" w:cs="Arial"/>
          <w:sz w:val="23"/>
          <w:szCs w:val="23"/>
          <w:lang w:eastAsia="zh-TW"/>
        </w:rPr>
        <w:t>15.76%</w:t>
      </w:r>
      <w:r w:rsidRPr="009653C1">
        <w:rPr>
          <w:rFonts w:ascii="Arial" w:eastAsia="宋体" w:hAnsi="Arial" w:cs="Arial" w:hint="eastAsia"/>
          <w:sz w:val="23"/>
          <w:szCs w:val="23"/>
          <w:lang w:eastAsia="zh-TW"/>
        </w:rPr>
        <w:t>；本公司合計為</w:t>
      </w:r>
      <w:r w:rsidRPr="009653C1">
        <w:rPr>
          <w:rFonts w:ascii="Arial" w:eastAsia="宋体" w:hAnsi="Arial" w:cs="Arial"/>
          <w:sz w:val="23"/>
          <w:szCs w:val="23"/>
          <w:lang w:eastAsia="zh-TW"/>
        </w:rPr>
        <w:t>3,019</w:t>
      </w:r>
      <w:r w:rsidRPr="009653C1">
        <w:rPr>
          <w:rFonts w:ascii="Arial" w:eastAsia="宋体" w:hAnsi="Arial" w:cs="Arial" w:hint="eastAsia"/>
          <w:sz w:val="23"/>
          <w:szCs w:val="23"/>
          <w:lang w:eastAsia="zh-TW"/>
        </w:rPr>
        <w:t>家企業提供避險服務，交易量合計</w:t>
      </w:r>
      <w:r w:rsidRPr="009653C1">
        <w:rPr>
          <w:rFonts w:ascii="Arial" w:eastAsia="宋体" w:hAnsi="Arial" w:cs="Arial"/>
          <w:sz w:val="23"/>
          <w:szCs w:val="23"/>
          <w:lang w:eastAsia="zh-TW"/>
        </w:rPr>
        <w:t>296.39</w:t>
      </w:r>
      <w:r w:rsidRPr="009653C1">
        <w:rPr>
          <w:rFonts w:ascii="Arial" w:eastAsia="宋体" w:hAnsi="Arial" w:cs="Arial" w:hint="eastAsia"/>
          <w:sz w:val="23"/>
          <w:szCs w:val="23"/>
          <w:lang w:eastAsia="zh-TW"/>
        </w:rPr>
        <w:t>億美元；本公司為</w:t>
      </w:r>
      <w:r w:rsidRPr="009653C1">
        <w:rPr>
          <w:rFonts w:ascii="Arial" w:eastAsia="宋体" w:hAnsi="Arial" w:cs="Arial"/>
          <w:sz w:val="23"/>
          <w:szCs w:val="23"/>
          <w:lang w:eastAsia="zh-TW"/>
        </w:rPr>
        <w:t>2,596</w:t>
      </w:r>
      <w:r w:rsidRPr="009653C1">
        <w:rPr>
          <w:rFonts w:ascii="Arial" w:eastAsia="宋体" w:hAnsi="Arial" w:cs="Arial" w:hint="eastAsia"/>
          <w:sz w:val="23"/>
          <w:szCs w:val="23"/>
          <w:lang w:eastAsia="zh-TW"/>
        </w:rPr>
        <w:t>家公司客戶</w:t>
      </w:r>
      <w:proofErr w:type="gramStart"/>
      <w:r w:rsidRPr="009653C1">
        <w:rPr>
          <w:rFonts w:ascii="Arial" w:eastAsia="宋体" w:hAnsi="Arial" w:cs="Arial" w:hint="eastAsia"/>
          <w:sz w:val="23"/>
          <w:szCs w:val="23"/>
          <w:lang w:eastAsia="zh-TW"/>
        </w:rPr>
        <w:t>提供線上衍生</w:t>
      </w:r>
      <w:proofErr w:type="gramEnd"/>
      <w:r w:rsidRPr="009653C1">
        <w:rPr>
          <w:rFonts w:ascii="Arial" w:eastAsia="宋体" w:hAnsi="Arial" w:cs="Arial" w:hint="eastAsia"/>
          <w:sz w:val="23"/>
          <w:szCs w:val="23"/>
          <w:lang w:eastAsia="zh-TW"/>
        </w:rPr>
        <w:t>交易服務，交易量合計</w:t>
      </w:r>
      <w:r w:rsidRPr="009653C1">
        <w:rPr>
          <w:rFonts w:ascii="Arial" w:eastAsia="宋体" w:hAnsi="Arial" w:cs="Arial"/>
          <w:sz w:val="23"/>
          <w:szCs w:val="23"/>
          <w:lang w:eastAsia="zh-TW"/>
        </w:rPr>
        <w:t>119.76</w:t>
      </w:r>
      <w:r w:rsidRPr="009653C1">
        <w:rPr>
          <w:rFonts w:ascii="Arial" w:eastAsia="宋体" w:hAnsi="Arial" w:cs="Arial" w:hint="eastAsia"/>
          <w:sz w:val="23"/>
          <w:szCs w:val="23"/>
          <w:lang w:eastAsia="zh-TW"/>
        </w:rPr>
        <w:t>億美元。</w:t>
      </w:r>
      <w:r w:rsidR="005D2EAE" w:rsidRPr="00351984">
        <w:rPr>
          <w:rFonts w:ascii="Arial" w:eastAsia="宋体" w:hAnsi="Arial" w:cs="Arial"/>
          <w:sz w:val="23"/>
          <w:szCs w:val="23"/>
          <w:lang w:eastAsia="zh-TW"/>
        </w:rPr>
        <w:t>同業互聯網服務平台</w:t>
      </w:r>
      <w:r w:rsidR="005D2EAE" w:rsidRPr="00351984">
        <w:rPr>
          <w:rFonts w:ascii="Arial" w:eastAsia="宋体" w:hAnsi="Arial" w:cs="Arial"/>
          <w:kern w:val="2"/>
          <w:sz w:val="23"/>
          <w:szCs w:val="23"/>
          <w:lang w:val="en-US" w:eastAsia="zh-TW"/>
        </w:rPr>
        <w:t>「</w:t>
      </w:r>
      <w:proofErr w:type="gramStart"/>
      <w:r w:rsidR="005D2EAE" w:rsidRPr="00351984">
        <w:rPr>
          <w:rFonts w:ascii="Arial" w:eastAsia="宋体" w:hAnsi="Arial" w:cs="Arial"/>
          <w:sz w:val="23"/>
          <w:szCs w:val="23"/>
          <w:lang w:eastAsia="zh-TW"/>
        </w:rPr>
        <w:t>招贏通</w:t>
      </w:r>
      <w:proofErr w:type="gramEnd"/>
      <w:r w:rsidR="005D2EAE" w:rsidRPr="00351984">
        <w:rPr>
          <w:rFonts w:ascii="Arial" w:eastAsia="宋体" w:hAnsi="Arial" w:cs="Arial"/>
          <w:kern w:val="2"/>
          <w:sz w:val="23"/>
          <w:szCs w:val="23"/>
          <w:lang w:val="en-US" w:eastAsia="zh-TW"/>
        </w:rPr>
        <w:t>」</w:t>
      </w:r>
      <w:r w:rsidR="005D2EAE" w:rsidRPr="00351984">
        <w:rPr>
          <w:rFonts w:ascii="Arial" w:eastAsia="宋体" w:hAnsi="Arial" w:cs="Arial"/>
          <w:sz w:val="23"/>
          <w:szCs w:val="23"/>
          <w:lang w:eastAsia="zh-TW"/>
        </w:rPr>
        <w:t>第三方資管</w:t>
      </w:r>
      <w:proofErr w:type="gramStart"/>
      <w:r w:rsidR="005D2EAE" w:rsidRPr="00351984">
        <w:rPr>
          <w:rFonts w:ascii="Arial" w:eastAsia="宋体" w:hAnsi="Arial" w:cs="Arial"/>
          <w:sz w:val="23"/>
          <w:szCs w:val="23"/>
          <w:lang w:eastAsia="zh-TW"/>
        </w:rPr>
        <w:t>產品線上銷售量</w:t>
      </w:r>
      <w:proofErr w:type="gramEnd"/>
      <w:r w:rsidR="005D2EAE" w:rsidRPr="00351984">
        <w:rPr>
          <w:rFonts w:ascii="Arial" w:eastAsia="宋体" w:hAnsi="Arial" w:cs="Arial"/>
          <w:sz w:val="23"/>
          <w:szCs w:val="23"/>
          <w:lang w:eastAsia="zh-TW"/>
        </w:rPr>
        <w:t>4,298.31</w:t>
      </w:r>
      <w:r w:rsidR="005D2EAE" w:rsidRPr="00351984">
        <w:rPr>
          <w:rFonts w:ascii="Arial" w:eastAsia="宋体" w:hAnsi="Arial" w:cs="Arial"/>
          <w:sz w:val="23"/>
          <w:szCs w:val="23"/>
          <w:lang w:eastAsia="zh-TW"/>
        </w:rPr>
        <w:t>億元，同比增長</w:t>
      </w:r>
      <w:r w:rsidR="005D2EAE" w:rsidRPr="00351984">
        <w:rPr>
          <w:rFonts w:ascii="Arial" w:eastAsia="宋体" w:hAnsi="Arial" w:cs="Arial"/>
          <w:sz w:val="23"/>
          <w:szCs w:val="23"/>
          <w:lang w:eastAsia="zh-TW"/>
        </w:rPr>
        <w:t>8.78%</w:t>
      </w:r>
      <w:r w:rsidR="005D2EAE" w:rsidRPr="00351984">
        <w:rPr>
          <w:rFonts w:ascii="Arial" w:eastAsia="宋体" w:hAnsi="Arial" w:cs="Arial"/>
          <w:sz w:val="23"/>
          <w:szCs w:val="23"/>
          <w:lang w:eastAsia="zh-TW"/>
        </w:rPr>
        <w:t>。</w:t>
      </w:r>
    </w:p>
    <w:p w14:paraId="78640349" w14:textId="77777777" w:rsidR="00CF4670" w:rsidRPr="00CF4670" w:rsidRDefault="00CF4670" w:rsidP="00CF467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宋体" w:hAnsi="Arial" w:cs="Arial"/>
          <w:b/>
          <w:sz w:val="23"/>
          <w:szCs w:val="23"/>
          <w:lang w:val="en-US" w:eastAsia="zh-TW"/>
        </w:rPr>
      </w:pPr>
    </w:p>
    <w:bookmarkEnd w:id="1"/>
    <w:p w14:paraId="5655FBFE" w14:textId="32E787E0" w:rsidR="00CF4670" w:rsidRPr="00357CB2" w:rsidRDefault="00A2206D">
      <w:pPr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宋体" w:hAnsi="Arial" w:cs="Arial"/>
          <w:b/>
          <w:bCs/>
          <w:kern w:val="2"/>
          <w:sz w:val="23"/>
          <w:szCs w:val="23"/>
          <w:lang w:val="en-US" w:eastAsia="zh-TW"/>
        </w:rPr>
      </w:pPr>
      <w:r w:rsidRPr="00357CB2">
        <w:rPr>
          <w:rFonts w:ascii="Arial" w:eastAsia="宋体" w:hAnsi="Arial" w:cs="Arial" w:hint="eastAsia"/>
          <w:b/>
          <w:sz w:val="23"/>
          <w:szCs w:val="23"/>
          <w:lang w:val="en-US" w:eastAsia="zh-TW"/>
        </w:rPr>
        <w:t>大財富管理業務穩步發展</w:t>
      </w:r>
    </w:p>
    <w:bookmarkEnd w:id="2"/>
    <w:p w14:paraId="4F8EDC48" w14:textId="77777777" w:rsidR="0094250E" w:rsidRDefault="0094250E" w:rsidP="008B27B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宋体" w:hAnsi="Arial" w:cs="Arial"/>
          <w:b/>
          <w:sz w:val="23"/>
          <w:szCs w:val="23"/>
          <w:lang w:val="en-US" w:eastAsia="zh-TW"/>
        </w:rPr>
      </w:pPr>
    </w:p>
    <w:p w14:paraId="5FC6E5DB" w14:textId="2AD7B443" w:rsidR="00CF4670" w:rsidRPr="00357CB2" w:rsidRDefault="00357CB2" w:rsidP="008B27B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宋体" w:hAnsi="Arial" w:cs="Arial"/>
          <w:sz w:val="23"/>
          <w:szCs w:val="23"/>
          <w:lang w:eastAsia="zh-TW"/>
        </w:rPr>
      </w:pPr>
      <w:r w:rsidRPr="00357CB2">
        <w:rPr>
          <w:rFonts w:ascii="Arial" w:eastAsia="宋体" w:hAnsi="Arial" w:cs="Arial" w:hint="eastAsia"/>
          <w:b/>
          <w:sz w:val="23"/>
          <w:szCs w:val="23"/>
          <w:lang w:val="en-US" w:eastAsia="zh-TW"/>
        </w:rPr>
        <w:t>零售客戶</w:t>
      </w:r>
      <w:r w:rsidRPr="00357CB2">
        <w:rPr>
          <w:rFonts w:ascii="Arial" w:eastAsia="宋体" w:hAnsi="Arial" w:cs="Arial"/>
          <w:b/>
          <w:sz w:val="23"/>
          <w:szCs w:val="23"/>
          <w:lang w:val="en-US" w:eastAsia="zh-TW"/>
        </w:rPr>
        <w:t>AUM</w:t>
      </w:r>
      <w:r w:rsidRPr="00357CB2">
        <w:rPr>
          <w:rFonts w:ascii="Arial" w:eastAsia="宋体" w:hAnsi="Arial" w:cs="Arial" w:hint="eastAsia"/>
          <w:b/>
          <w:sz w:val="23"/>
          <w:szCs w:val="23"/>
          <w:lang w:val="en-US" w:eastAsia="zh-TW"/>
        </w:rPr>
        <w:t>穩定增長。</w:t>
      </w:r>
      <w:r w:rsidRPr="00357CB2">
        <w:rPr>
          <w:rFonts w:ascii="Arial" w:eastAsia="宋体" w:hAnsi="Arial" w:cs="Arial" w:hint="eastAsia"/>
          <w:sz w:val="23"/>
          <w:szCs w:val="23"/>
          <w:lang w:eastAsia="zh-TW"/>
        </w:rPr>
        <w:t>截至報告期末</w:t>
      </w:r>
      <w:r w:rsidRPr="005D2EAE">
        <w:rPr>
          <w:rFonts w:ascii="Arial" w:eastAsia="宋体" w:hAnsi="Arial" w:cs="Arial" w:hint="eastAsia"/>
          <w:sz w:val="23"/>
          <w:szCs w:val="23"/>
          <w:lang w:val="en-US" w:eastAsia="zh-TW"/>
        </w:rPr>
        <w:t>，</w:t>
      </w:r>
      <w:r w:rsidRPr="00357CB2">
        <w:rPr>
          <w:rFonts w:ascii="Arial" w:eastAsia="宋体" w:hAnsi="Arial" w:cs="Arial" w:hint="eastAsia"/>
          <w:sz w:val="23"/>
          <w:szCs w:val="23"/>
          <w:lang w:eastAsia="zh-TW"/>
        </w:rPr>
        <w:t>本公司管理零售客戶總資產</w:t>
      </w:r>
      <w:r w:rsidRPr="005D2EAE">
        <w:rPr>
          <w:rFonts w:ascii="Arial" w:eastAsia="宋体" w:hAnsi="Arial" w:cs="Arial" w:hint="eastAsia"/>
          <w:sz w:val="23"/>
          <w:szCs w:val="23"/>
          <w:lang w:val="en-US" w:eastAsia="zh-TW"/>
        </w:rPr>
        <w:t>（</w:t>
      </w:r>
      <w:r w:rsidRPr="005D2EAE">
        <w:rPr>
          <w:rFonts w:ascii="Arial" w:eastAsia="宋体" w:hAnsi="Arial" w:cs="Arial"/>
          <w:sz w:val="23"/>
          <w:szCs w:val="23"/>
          <w:lang w:val="en-US" w:eastAsia="zh-TW"/>
        </w:rPr>
        <w:t>AUM</w:t>
      </w:r>
      <w:r w:rsidRPr="005D2EAE">
        <w:rPr>
          <w:rFonts w:ascii="Arial" w:eastAsia="宋体" w:hAnsi="Arial" w:cs="Arial" w:hint="eastAsia"/>
          <w:sz w:val="23"/>
          <w:szCs w:val="23"/>
          <w:lang w:val="en-US" w:eastAsia="zh-TW"/>
        </w:rPr>
        <w:t>）</w:t>
      </w:r>
      <w:r w:rsidRPr="00357CB2">
        <w:rPr>
          <w:rFonts w:ascii="Arial" w:eastAsia="宋体" w:hAnsi="Arial" w:cs="Arial" w:hint="eastAsia"/>
          <w:sz w:val="23"/>
          <w:szCs w:val="23"/>
          <w:lang w:eastAsia="zh-TW"/>
        </w:rPr>
        <w:t>餘額</w:t>
      </w:r>
      <w:r w:rsidRPr="005D2EAE">
        <w:rPr>
          <w:rFonts w:ascii="Arial" w:eastAsia="宋体" w:hAnsi="Arial" w:cs="Arial"/>
          <w:sz w:val="23"/>
          <w:szCs w:val="23"/>
          <w:lang w:val="en-US" w:eastAsia="zh-TW"/>
        </w:rPr>
        <w:t>12.84</w:t>
      </w:r>
      <w:r w:rsidRPr="00357CB2">
        <w:rPr>
          <w:rFonts w:ascii="Arial" w:eastAsia="宋体" w:hAnsi="Arial" w:cs="Arial" w:hint="eastAsia"/>
          <w:sz w:val="23"/>
          <w:szCs w:val="23"/>
          <w:lang w:eastAsia="zh-TW"/>
        </w:rPr>
        <w:t>萬億元</w:t>
      </w:r>
      <w:r w:rsidRPr="005D2EAE">
        <w:rPr>
          <w:rFonts w:ascii="Arial" w:eastAsia="宋体" w:hAnsi="Arial" w:cs="Arial" w:hint="eastAsia"/>
          <w:sz w:val="23"/>
          <w:szCs w:val="23"/>
          <w:lang w:val="en-US" w:eastAsia="zh-TW"/>
        </w:rPr>
        <w:t>，</w:t>
      </w:r>
      <w:r w:rsidRPr="00357CB2">
        <w:rPr>
          <w:rFonts w:ascii="Arial" w:eastAsia="宋体" w:hAnsi="Arial" w:cs="Arial" w:hint="eastAsia"/>
          <w:sz w:val="23"/>
          <w:szCs w:val="23"/>
          <w:lang w:eastAsia="zh-TW"/>
        </w:rPr>
        <w:t>較上年末增長</w:t>
      </w:r>
      <w:r w:rsidRPr="005D2EAE">
        <w:rPr>
          <w:rFonts w:ascii="Arial" w:eastAsia="宋体" w:hAnsi="Arial" w:cs="Arial"/>
          <w:sz w:val="23"/>
          <w:szCs w:val="23"/>
          <w:lang w:val="en-US" w:eastAsia="zh-TW"/>
        </w:rPr>
        <w:t>5.90%</w:t>
      </w:r>
      <w:r w:rsidRPr="00357CB2">
        <w:rPr>
          <w:rFonts w:ascii="Arial" w:eastAsia="宋体" w:hAnsi="Arial" w:cs="Arial" w:hint="eastAsia"/>
          <w:sz w:val="23"/>
          <w:szCs w:val="23"/>
          <w:lang w:eastAsia="zh-TW"/>
        </w:rPr>
        <w:t>。本公司零售理財產品餘額</w:t>
      </w:r>
      <w:r w:rsidRPr="00357CB2">
        <w:rPr>
          <w:rFonts w:ascii="Arial" w:eastAsia="宋体" w:hAnsi="Arial" w:cs="Arial"/>
          <w:sz w:val="23"/>
          <w:szCs w:val="23"/>
          <w:lang w:eastAsia="zh-TW"/>
        </w:rPr>
        <w:t>32,392.38</w:t>
      </w:r>
      <w:r w:rsidRPr="00357CB2">
        <w:rPr>
          <w:rFonts w:ascii="Arial" w:eastAsia="宋体" w:hAnsi="Arial" w:cs="Arial" w:hint="eastAsia"/>
          <w:sz w:val="23"/>
          <w:szCs w:val="23"/>
          <w:lang w:eastAsia="zh-TW"/>
        </w:rPr>
        <w:t>億元，較上年末增長</w:t>
      </w:r>
      <w:r w:rsidRPr="00357CB2">
        <w:rPr>
          <w:rFonts w:ascii="Arial" w:eastAsia="宋体" w:hAnsi="Arial" w:cs="Arial"/>
          <w:sz w:val="23"/>
          <w:szCs w:val="23"/>
          <w:lang w:eastAsia="zh-TW"/>
        </w:rPr>
        <w:t>3.21%</w:t>
      </w:r>
      <w:r w:rsidRPr="00357CB2">
        <w:rPr>
          <w:rFonts w:ascii="Arial" w:eastAsia="宋体" w:hAnsi="Arial" w:cs="Arial" w:hint="eastAsia"/>
          <w:sz w:val="23"/>
          <w:szCs w:val="23"/>
          <w:lang w:eastAsia="zh-TW"/>
        </w:rPr>
        <w:t>；實現代理保險保費</w:t>
      </w:r>
      <w:r w:rsidRPr="00357CB2">
        <w:rPr>
          <w:rFonts w:ascii="Arial" w:eastAsia="宋体" w:hAnsi="Arial" w:cs="Arial"/>
          <w:sz w:val="23"/>
          <w:szCs w:val="23"/>
          <w:lang w:eastAsia="zh-TW"/>
        </w:rPr>
        <w:t>573.94</w:t>
      </w:r>
      <w:r w:rsidRPr="00357CB2">
        <w:rPr>
          <w:rFonts w:ascii="Arial" w:eastAsia="宋体" w:hAnsi="Arial" w:cs="Arial" w:hint="eastAsia"/>
          <w:sz w:val="23"/>
          <w:szCs w:val="23"/>
          <w:lang w:eastAsia="zh-TW"/>
        </w:rPr>
        <w:t>億元，同比增長</w:t>
      </w:r>
      <w:r w:rsidRPr="00357CB2">
        <w:rPr>
          <w:rFonts w:ascii="Arial" w:eastAsia="宋体" w:hAnsi="Arial" w:cs="Arial"/>
          <w:sz w:val="23"/>
          <w:szCs w:val="23"/>
          <w:lang w:eastAsia="zh-TW"/>
        </w:rPr>
        <w:t>54.88%</w:t>
      </w:r>
      <w:r w:rsidRPr="00357CB2">
        <w:rPr>
          <w:rFonts w:ascii="Arial" w:eastAsia="宋体" w:hAnsi="Arial" w:cs="Arial" w:hint="eastAsia"/>
          <w:sz w:val="23"/>
          <w:szCs w:val="23"/>
          <w:lang w:eastAsia="zh-TW"/>
        </w:rPr>
        <w:t>。</w:t>
      </w:r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本公司財富</w:t>
      </w:r>
      <w:proofErr w:type="gramStart"/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產品持倉客戶</w:t>
      </w:r>
      <w:proofErr w:type="gramEnd"/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數達</w:t>
      </w:r>
      <w:r w:rsidRPr="00357CB2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4,663.34</w:t>
      </w:r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萬戶，較上年末增長</w:t>
      </w:r>
      <w:r w:rsidRPr="00357CB2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8.12%</w:t>
      </w:r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；在</w:t>
      </w:r>
      <w:r w:rsidRPr="00357CB2">
        <w:rPr>
          <w:rFonts w:ascii="Arial" w:eastAsia="宋体" w:hAnsi="Arial" w:cs="Arial" w:hint="eastAsia"/>
          <w:kern w:val="2"/>
          <w:sz w:val="23"/>
          <w:szCs w:val="23"/>
          <w:lang w:val="en-US" w:eastAsia="zh-TW"/>
        </w:rPr>
        <w:t>「</w:t>
      </w:r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招商銀行資產配置</w:t>
      </w:r>
      <w:r w:rsidRPr="00357CB2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TREE</w:t>
      </w:r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體系</w:t>
      </w:r>
      <w:r w:rsidRPr="00357CB2">
        <w:rPr>
          <w:rFonts w:ascii="Arial" w:eastAsia="宋体" w:hAnsi="Arial" w:cs="Arial" w:hint="eastAsia"/>
          <w:kern w:val="2"/>
          <w:sz w:val="23"/>
          <w:szCs w:val="23"/>
          <w:lang w:val="en-US" w:eastAsia="zh-TW"/>
        </w:rPr>
        <w:t>」</w:t>
      </w:r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下進行資產配置的客戶</w:t>
      </w:r>
      <w:r w:rsidR="00CF4670" w:rsidRPr="00357CB2">
        <w:rPr>
          <w:rFonts w:ascii="Arial" w:eastAsia="宋体" w:hAnsi="Arial" w:cs="Arial"/>
          <w:color w:val="000000"/>
          <w:sz w:val="23"/>
          <w:szCs w:val="23"/>
          <w:vertAlign w:val="superscript"/>
          <w:lang w:val="en-US"/>
        </w:rPr>
        <w:footnoteReference w:id="2"/>
      </w:r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達</w:t>
      </w:r>
      <w:r w:rsidRPr="00357CB2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865.14</w:t>
      </w:r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萬戶，較上年末增長</w:t>
      </w:r>
      <w:r w:rsidRPr="00357CB2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6.45%</w:t>
      </w:r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。本公司家族信託業務單數</w:t>
      </w:r>
      <w:proofErr w:type="gramStart"/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突破萬單</w:t>
      </w:r>
      <w:proofErr w:type="gramEnd"/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，業務規模較上年末增長</w:t>
      </w:r>
      <w:r w:rsidRPr="00357CB2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22.79%</w:t>
      </w:r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。</w:t>
      </w:r>
      <w:r w:rsidRPr="00357CB2">
        <w:rPr>
          <w:rFonts w:ascii="Arial" w:eastAsia="宋体" w:hAnsi="Arial" w:cs="Arial" w:hint="eastAsia"/>
          <w:kern w:val="2"/>
          <w:sz w:val="23"/>
          <w:szCs w:val="23"/>
          <w:lang w:val="en-US" w:eastAsia="zh-TW"/>
        </w:rPr>
        <w:t>「</w:t>
      </w:r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招財號</w:t>
      </w:r>
      <w:r w:rsidRPr="00357CB2">
        <w:rPr>
          <w:rFonts w:ascii="Arial" w:eastAsia="宋体" w:hAnsi="Arial" w:cs="Arial" w:hint="eastAsia"/>
          <w:kern w:val="2"/>
          <w:sz w:val="23"/>
          <w:szCs w:val="23"/>
          <w:lang w:val="en-US" w:eastAsia="zh-TW"/>
        </w:rPr>
        <w:t>」</w:t>
      </w:r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擁有粉絲</w:t>
      </w:r>
      <w:r w:rsidRPr="00357CB2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2,212</w:t>
      </w:r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萬，</w:t>
      </w:r>
      <w:r w:rsidRPr="00357CB2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144</w:t>
      </w:r>
      <w:r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家具</w:t>
      </w:r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有行業代表性的資管機構入駐</w:t>
      </w:r>
      <w:r w:rsidRPr="00357CB2">
        <w:rPr>
          <w:rFonts w:ascii="Arial" w:eastAsia="宋体" w:hAnsi="Arial" w:cs="Arial" w:hint="eastAsia"/>
          <w:kern w:val="2"/>
          <w:sz w:val="23"/>
          <w:szCs w:val="23"/>
          <w:lang w:val="en-US" w:eastAsia="zh-TW"/>
        </w:rPr>
        <w:t>「</w:t>
      </w:r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招財號</w:t>
      </w:r>
      <w:r w:rsidRPr="00357CB2">
        <w:rPr>
          <w:rFonts w:ascii="Arial" w:eastAsia="宋体" w:hAnsi="Arial" w:cs="Arial" w:hint="eastAsia"/>
          <w:kern w:val="2"/>
          <w:sz w:val="23"/>
          <w:szCs w:val="23"/>
          <w:lang w:val="en-US" w:eastAsia="zh-TW"/>
        </w:rPr>
        <w:t>」</w:t>
      </w:r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。</w:t>
      </w:r>
    </w:p>
    <w:p w14:paraId="7915FD8E" w14:textId="77777777" w:rsidR="008B27B3" w:rsidRDefault="008B27B3" w:rsidP="00CF467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宋体" w:hAnsi="Arial" w:cs="Arial"/>
          <w:color w:val="000000"/>
          <w:sz w:val="23"/>
          <w:szCs w:val="23"/>
          <w:lang w:val="en-US" w:eastAsia="zh-TW"/>
        </w:rPr>
      </w:pPr>
    </w:p>
    <w:p w14:paraId="1CCFD340" w14:textId="4B6E19AF" w:rsidR="008B27B3" w:rsidRPr="00357CB2" w:rsidRDefault="00357CB2" w:rsidP="008B27B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宋体" w:hAnsi="Arial" w:cs="Arial"/>
          <w:bCs/>
          <w:sz w:val="23"/>
          <w:szCs w:val="23"/>
          <w:lang w:eastAsia="zh-TW"/>
        </w:rPr>
      </w:pPr>
      <w:r w:rsidRPr="00357CB2">
        <w:rPr>
          <w:rFonts w:ascii="Arial" w:eastAsia="宋体" w:hAnsi="Arial" w:cs="Arial" w:hint="eastAsia"/>
          <w:b/>
          <w:bCs/>
          <w:sz w:val="23"/>
          <w:szCs w:val="23"/>
          <w:lang w:eastAsia="zh-TW"/>
        </w:rPr>
        <w:t>公司客戶</w:t>
      </w:r>
      <w:r w:rsidRPr="005D2EAE">
        <w:rPr>
          <w:rFonts w:ascii="Arial" w:eastAsia="宋体" w:hAnsi="Arial" w:cs="Arial"/>
          <w:b/>
          <w:bCs/>
          <w:sz w:val="23"/>
          <w:szCs w:val="23"/>
          <w:lang w:val="en-US" w:eastAsia="zh-TW"/>
        </w:rPr>
        <w:t>FPA</w:t>
      </w:r>
      <w:r w:rsidRPr="00357CB2">
        <w:rPr>
          <w:rFonts w:ascii="Arial" w:eastAsia="宋体" w:hAnsi="Arial" w:cs="Arial" w:hint="eastAsia"/>
          <w:b/>
          <w:bCs/>
          <w:sz w:val="23"/>
          <w:szCs w:val="23"/>
          <w:lang w:eastAsia="zh-TW"/>
        </w:rPr>
        <w:t>中的非傳統融資保持穩定。</w:t>
      </w:r>
      <w:r w:rsidRPr="00357CB2">
        <w:rPr>
          <w:rFonts w:ascii="Arial" w:eastAsia="宋体" w:hAnsi="Arial" w:cs="Arial" w:hint="eastAsia"/>
          <w:sz w:val="23"/>
          <w:szCs w:val="23"/>
          <w:lang w:eastAsia="zh-TW"/>
        </w:rPr>
        <w:t>截至報告期末</w:t>
      </w:r>
      <w:r w:rsidRPr="005D2EAE">
        <w:rPr>
          <w:rFonts w:ascii="Arial" w:eastAsia="宋体" w:hAnsi="Arial" w:cs="Arial" w:hint="eastAsia"/>
          <w:sz w:val="23"/>
          <w:szCs w:val="23"/>
          <w:lang w:val="en-US" w:eastAsia="zh-TW"/>
        </w:rPr>
        <w:t>，</w:t>
      </w:r>
      <w:r w:rsidRPr="00357CB2">
        <w:rPr>
          <w:rFonts w:ascii="Arial" w:eastAsia="宋体" w:hAnsi="Arial" w:cs="Arial" w:hint="eastAsia"/>
          <w:sz w:val="23"/>
          <w:szCs w:val="23"/>
          <w:lang w:eastAsia="zh-TW"/>
        </w:rPr>
        <w:t>本公司公司客戶融資總量</w:t>
      </w:r>
      <w:r w:rsidRPr="005D2EAE">
        <w:rPr>
          <w:rFonts w:ascii="Arial" w:eastAsia="宋体" w:hAnsi="Arial" w:cs="Arial" w:hint="eastAsia"/>
          <w:sz w:val="23"/>
          <w:szCs w:val="23"/>
          <w:lang w:val="en-US" w:eastAsia="zh-TW"/>
        </w:rPr>
        <w:t>（</w:t>
      </w:r>
      <w:r w:rsidRPr="005D2EAE">
        <w:rPr>
          <w:rFonts w:ascii="Arial" w:eastAsia="宋体" w:hAnsi="Arial" w:cs="Arial"/>
          <w:sz w:val="23"/>
          <w:szCs w:val="23"/>
          <w:lang w:val="en-US" w:eastAsia="zh-TW"/>
        </w:rPr>
        <w:t>FPA</w:t>
      </w:r>
      <w:r w:rsidRPr="005D2EAE">
        <w:rPr>
          <w:rFonts w:ascii="Arial" w:eastAsia="宋体" w:hAnsi="Arial" w:cs="Arial" w:hint="eastAsia"/>
          <w:sz w:val="23"/>
          <w:szCs w:val="23"/>
          <w:lang w:val="en-US" w:eastAsia="zh-TW"/>
        </w:rPr>
        <w:t>）</w:t>
      </w:r>
      <w:r w:rsidRPr="00357CB2">
        <w:rPr>
          <w:rFonts w:ascii="Arial" w:eastAsia="宋体" w:hAnsi="Arial" w:cs="Arial" w:hint="eastAsia"/>
          <w:sz w:val="23"/>
          <w:szCs w:val="23"/>
          <w:lang w:eastAsia="zh-TW"/>
        </w:rPr>
        <w:t>中</w:t>
      </w:r>
      <w:r w:rsidRPr="00357CB2">
        <w:rPr>
          <w:rFonts w:ascii="Arial" w:eastAsia="宋体" w:hAnsi="Arial" w:cs="Arial" w:hint="eastAsia"/>
          <w:bCs/>
          <w:sz w:val="23"/>
          <w:szCs w:val="23"/>
          <w:lang w:eastAsia="zh-TW"/>
        </w:rPr>
        <w:t>非傳統融資</w:t>
      </w:r>
      <w:r w:rsidR="008B27B3" w:rsidRPr="00357CB2">
        <w:rPr>
          <w:rStyle w:val="af"/>
          <w:rFonts w:ascii="Arial" w:eastAsia="宋体" w:hAnsi="Arial" w:cs="Arial"/>
          <w:bCs/>
          <w:sz w:val="23"/>
          <w:szCs w:val="23"/>
        </w:rPr>
        <w:footnoteReference w:id="3"/>
      </w:r>
      <w:r w:rsidRPr="00357CB2">
        <w:rPr>
          <w:rFonts w:ascii="Arial" w:eastAsia="宋体" w:hAnsi="Arial" w:cs="Arial" w:hint="eastAsia"/>
          <w:bCs/>
          <w:sz w:val="23"/>
          <w:szCs w:val="23"/>
          <w:lang w:eastAsia="zh-TW"/>
        </w:rPr>
        <w:t>餘額</w:t>
      </w:r>
      <w:r w:rsidRPr="005D2EAE">
        <w:rPr>
          <w:rFonts w:ascii="Arial" w:eastAsia="宋体" w:hAnsi="Arial" w:cs="Arial"/>
          <w:bCs/>
          <w:sz w:val="23"/>
          <w:szCs w:val="23"/>
          <w:lang w:val="en-US" w:eastAsia="zh-TW"/>
        </w:rPr>
        <w:t>24,484.06</w:t>
      </w:r>
      <w:r w:rsidRPr="00357CB2">
        <w:rPr>
          <w:rFonts w:ascii="Arial" w:eastAsia="宋体" w:hAnsi="Arial" w:cs="Arial" w:hint="eastAsia"/>
          <w:bCs/>
          <w:sz w:val="23"/>
          <w:szCs w:val="23"/>
          <w:lang w:eastAsia="zh-TW"/>
        </w:rPr>
        <w:t>億元</w:t>
      </w:r>
      <w:r w:rsidRPr="005D2EAE">
        <w:rPr>
          <w:rFonts w:ascii="Arial" w:eastAsia="宋体" w:hAnsi="Arial" w:cs="Arial" w:hint="eastAsia"/>
          <w:bCs/>
          <w:sz w:val="23"/>
          <w:szCs w:val="23"/>
          <w:lang w:val="en-US" w:eastAsia="zh-TW"/>
        </w:rPr>
        <w:t>，</w:t>
      </w:r>
      <w:r w:rsidRPr="00357CB2">
        <w:rPr>
          <w:rFonts w:ascii="Arial" w:eastAsia="宋体" w:hAnsi="Arial" w:cs="Arial" w:hint="eastAsia"/>
          <w:bCs/>
          <w:sz w:val="23"/>
          <w:szCs w:val="23"/>
          <w:lang w:eastAsia="zh-TW"/>
        </w:rPr>
        <w:t>較年初增加</w:t>
      </w:r>
      <w:r w:rsidRPr="005D2EAE">
        <w:rPr>
          <w:rFonts w:ascii="Arial" w:eastAsia="宋体" w:hAnsi="Arial" w:cs="Arial"/>
          <w:bCs/>
          <w:sz w:val="23"/>
          <w:szCs w:val="23"/>
          <w:lang w:val="en-US" w:eastAsia="zh-TW"/>
        </w:rPr>
        <w:t>1,585.23</w:t>
      </w:r>
      <w:r w:rsidRPr="00357CB2">
        <w:rPr>
          <w:rFonts w:ascii="Arial" w:eastAsia="宋体" w:hAnsi="Arial" w:cs="Arial" w:hint="eastAsia"/>
          <w:bCs/>
          <w:sz w:val="23"/>
          <w:szCs w:val="23"/>
          <w:lang w:eastAsia="zh-TW"/>
        </w:rPr>
        <w:t>億元。非傳統融資餘額占</w:t>
      </w:r>
      <w:r w:rsidRPr="00357CB2">
        <w:rPr>
          <w:rFonts w:ascii="Arial" w:eastAsia="宋体" w:hAnsi="Arial" w:cs="Arial"/>
          <w:bCs/>
          <w:sz w:val="23"/>
          <w:szCs w:val="23"/>
          <w:lang w:eastAsia="zh-TW"/>
        </w:rPr>
        <w:t>FPA</w:t>
      </w:r>
      <w:r w:rsidRPr="00357CB2">
        <w:rPr>
          <w:rFonts w:ascii="Arial" w:eastAsia="宋体" w:hAnsi="Arial" w:cs="Arial" w:hint="eastAsia"/>
          <w:bCs/>
          <w:sz w:val="23"/>
          <w:szCs w:val="23"/>
          <w:lang w:eastAsia="zh-TW"/>
        </w:rPr>
        <w:t>餘額的比例為</w:t>
      </w:r>
      <w:r w:rsidRPr="00357CB2">
        <w:rPr>
          <w:rFonts w:ascii="Arial" w:eastAsia="宋体" w:hAnsi="Arial" w:cs="Arial"/>
          <w:bCs/>
          <w:sz w:val="23"/>
          <w:szCs w:val="23"/>
          <w:lang w:eastAsia="zh-TW"/>
        </w:rPr>
        <w:t>44.54%</w:t>
      </w:r>
      <w:r w:rsidRPr="00357CB2">
        <w:rPr>
          <w:rFonts w:ascii="Arial" w:eastAsia="宋体" w:hAnsi="Arial" w:cs="Arial" w:hint="eastAsia"/>
          <w:bCs/>
          <w:sz w:val="23"/>
          <w:szCs w:val="23"/>
          <w:lang w:eastAsia="zh-TW"/>
        </w:rPr>
        <w:t>。</w:t>
      </w:r>
    </w:p>
    <w:p w14:paraId="6BE7ECEE" w14:textId="77777777" w:rsidR="008B27B3" w:rsidRPr="008B27B3" w:rsidRDefault="008B27B3" w:rsidP="008B27B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宋体" w:hAnsi="Arial" w:cs="Arial"/>
          <w:color w:val="000000"/>
          <w:sz w:val="23"/>
          <w:szCs w:val="23"/>
          <w:highlight w:val="yellow"/>
          <w:lang w:val="en-US" w:eastAsia="zh-TW"/>
        </w:rPr>
      </w:pPr>
    </w:p>
    <w:p w14:paraId="3B794685" w14:textId="1BCFF2C7" w:rsidR="008B27B3" w:rsidRPr="00357CB2" w:rsidRDefault="00357CB2" w:rsidP="008B27B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宋体" w:hAnsi="Arial" w:cs="Arial"/>
          <w:b/>
          <w:bCs/>
          <w:color w:val="000000"/>
          <w:sz w:val="23"/>
          <w:szCs w:val="23"/>
          <w:lang w:val="en-US" w:eastAsia="zh-TW"/>
        </w:rPr>
      </w:pPr>
      <w:r w:rsidRPr="00357CB2">
        <w:rPr>
          <w:rFonts w:ascii="Arial" w:eastAsia="宋体" w:hAnsi="Arial" w:cs="Arial" w:hint="eastAsia"/>
          <w:b/>
          <w:bCs/>
          <w:color w:val="000000"/>
          <w:sz w:val="23"/>
          <w:szCs w:val="23"/>
          <w:lang w:val="en-US" w:eastAsia="zh-TW"/>
        </w:rPr>
        <w:t>資產管理業務保持韌性。</w:t>
      </w:r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截至報告期末，本公司</w:t>
      </w:r>
      <w:proofErr w:type="gramStart"/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子公司招銀理財</w:t>
      </w:r>
      <w:proofErr w:type="gramEnd"/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、招商基金、招商信諾資管</w:t>
      </w:r>
      <w:proofErr w:type="gramStart"/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和招銀國際</w:t>
      </w:r>
      <w:proofErr w:type="gramEnd"/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的資管業務總規模合計為</w:t>
      </w:r>
      <w:r w:rsidRPr="00357CB2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4.41</w:t>
      </w:r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萬億元</w:t>
      </w:r>
      <w:r w:rsidR="008B27B3" w:rsidRPr="00357CB2">
        <w:rPr>
          <w:rStyle w:val="af"/>
          <w:rFonts w:ascii="Arial" w:eastAsia="宋体" w:hAnsi="Arial" w:cs="Arial"/>
          <w:color w:val="000000"/>
          <w:sz w:val="23"/>
          <w:szCs w:val="23"/>
          <w:lang w:val="en-US"/>
        </w:rPr>
        <w:footnoteReference w:id="4"/>
      </w:r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，與上年</w:t>
      </w:r>
      <w:r w:rsidR="009A3D07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末</w:t>
      </w:r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基本持平，繼續位居市場前列。其中，</w:t>
      </w:r>
      <w:proofErr w:type="gramStart"/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招銀理財</w:t>
      </w:r>
      <w:proofErr w:type="gramEnd"/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管理的理財產品餘額</w:t>
      </w:r>
      <w:r w:rsidRPr="00357CB2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2.53</w:t>
      </w:r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萬億元，較上年末下降</w:t>
      </w:r>
      <w:r w:rsidRPr="00357CB2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5.24%</w:t>
      </w:r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，</w:t>
      </w:r>
      <w:r w:rsidR="009A3D07" w:rsidRPr="009A3D07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但較一季度末增加</w:t>
      </w:r>
      <w:r w:rsidR="009A3D07" w:rsidRPr="009A3D07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726.22</w:t>
      </w:r>
      <w:r w:rsidR="009A3D07" w:rsidRPr="009A3D07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億元，</w:t>
      </w:r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主要是上半年加大現金類、短期封閉</w:t>
      </w:r>
      <w:proofErr w:type="gramStart"/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低波類</w:t>
      </w:r>
      <w:proofErr w:type="gramEnd"/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、中長期期限匹配類產品發行力度；招商基金的資管業務規模</w:t>
      </w:r>
      <w:r w:rsidRPr="00357CB2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1.55</w:t>
      </w:r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萬億元，較上年末增長</w:t>
      </w:r>
      <w:r w:rsidRPr="00357CB2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4.73%</w:t>
      </w:r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；招商信諾資管的資管業務規模</w:t>
      </w:r>
      <w:r w:rsidRPr="00357CB2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2,237.25</w:t>
      </w:r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億元，較上年末增長</w:t>
      </w:r>
      <w:r w:rsidRPr="00357CB2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35.81%</w:t>
      </w:r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；</w:t>
      </w:r>
      <w:proofErr w:type="gramStart"/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招銀國際</w:t>
      </w:r>
      <w:proofErr w:type="gramEnd"/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的資管業務規模</w:t>
      </w:r>
      <w:r w:rsidRPr="00357CB2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1,099.93</w:t>
      </w:r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億元，較上年末增長</w:t>
      </w:r>
      <w:r w:rsidRPr="00357CB2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5.44%</w:t>
      </w:r>
      <w:r w:rsidRPr="00357CB2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。</w:t>
      </w:r>
    </w:p>
    <w:p w14:paraId="36933110" w14:textId="77777777" w:rsidR="008B27B3" w:rsidRPr="0016149B" w:rsidRDefault="008B27B3" w:rsidP="008B27B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宋体" w:hAnsi="Arial" w:cs="Arial"/>
          <w:color w:val="000000"/>
          <w:sz w:val="23"/>
          <w:szCs w:val="23"/>
          <w:lang w:val="en-US" w:eastAsia="zh-TW"/>
        </w:rPr>
      </w:pPr>
    </w:p>
    <w:p w14:paraId="1BAED28B" w14:textId="12A4EE14" w:rsidR="008B27B3" w:rsidRPr="00BF0247" w:rsidRDefault="00357CB2" w:rsidP="008B27B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宋体" w:hAnsi="Arial" w:cs="Arial"/>
          <w:color w:val="000000"/>
          <w:sz w:val="23"/>
          <w:szCs w:val="23"/>
          <w:lang w:val="en-US" w:eastAsia="zh-TW"/>
        </w:rPr>
      </w:pPr>
      <w:r w:rsidRPr="00BF0247">
        <w:rPr>
          <w:rFonts w:ascii="Arial" w:eastAsia="宋体" w:hAnsi="Arial" w:cs="Arial" w:hint="eastAsia"/>
          <w:b/>
          <w:bCs/>
          <w:color w:val="000000"/>
          <w:sz w:val="23"/>
          <w:szCs w:val="23"/>
          <w:lang w:val="en-US" w:eastAsia="zh-TW"/>
        </w:rPr>
        <w:t>託管業務規模保持領先。</w:t>
      </w:r>
      <w:r w:rsidRPr="00BF0247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截至報告期末，本公司託管資產餘額</w:t>
      </w:r>
      <w:r w:rsidRPr="00BF0247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20.86</w:t>
      </w:r>
      <w:r w:rsidRPr="00BF0247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萬億元，較上年末增長</w:t>
      </w:r>
      <w:r w:rsidRPr="00BF0247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3.99%</w:t>
      </w:r>
      <w:r w:rsidRPr="00BF0247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，託管總規模居行業第一（</w:t>
      </w:r>
      <w:r w:rsidRPr="00BF0247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WIND</w:t>
      </w:r>
      <w:r w:rsidR="00BF0247" w:rsidRPr="005D2EAE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數據</w:t>
      </w:r>
      <w:r w:rsidRPr="00BF0247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），市場份額較上年末上升。</w:t>
      </w:r>
    </w:p>
    <w:p w14:paraId="14FF82D3" w14:textId="77777777" w:rsidR="00CF4670" w:rsidRPr="00CF4670" w:rsidRDefault="00CF4670" w:rsidP="00CF467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宋体" w:hAnsi="Arial" w:cs="Arial"/>
          <w:b/>
          <w:bCs/>
          <w:color w:val="000000"/>
          <w:sz w:val="23"/>
          <w:szCs w:val="23"/>
          <w:lang w:val="en-US" w:eastAsia="zh-TW"/>
        </w:rPr>
      </w:pPr>
    </w:p>
    <w:p w14:paraId="332D259F" w14:textId="405DB197" w:rsidR="00CF4670" w:rsidRPr="00BF0247" w:rsidRDefault="001A5688" w:rsidP="00CF4670">
      <w:pPr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宋体" w:hAnsi="Arial" w:cs="Arial"/>
          <w:b/>
          <w:bCs/>
          <w:color w:val="000000"/>
          <w:sz w:val="23"/>
          <w:szCs w:val="23"/>
          <w:lang w:val="en-US" w:eastAsia="zh-TW"/>
        </w:rPr>
      </w:pPr>
      <w:r w:rsidRPr="001A5688">
        <w:rPr>
          <w:rFonts w:ascii="Arial" w:eastAsia="宋体" w:hAnsi="Arial" w:cs="Arial"/>
          <w:b/>
          <w:bCs/>
          <w:color w:val="000000"/>
          <w:sz w:val="23"/>
          <w:szCs w:val="23"/>
          <w:lang w:val="en-US" w:eastAsia="zh-TW"/>
        </w:rPr>
        <w:t>「</w:t>
      </w:r>
      <w:proofErr w:type="gramStart"/>
      <w:r w:rsidR="00BF0247" w:rsidRPr="00BF0247">
        <w:rPr>
          <w:rFonts w:ascii="Arial" w:eastAsia="宋体" w:hAnsi="Arial" w:cs="Arial" w:hint="eastAsia"/>
          <w:b/>
          <w:bCs/>
          <w:color w:val="000000"/>
          <w:sz w:val="23"/>
          <w:szCs w:val="23"/>
          <w:lang w:val="en-US" w:eastAsia="zh-TW"/>
        </w:rPr>
        <w:t>數字招行</w:t>
      </w:r>
      <w:proofErr w:type="gramEnd"/>
      <w:r w:rsidRPr="001A5688">
        <w:rPr>
          <w:rFonts w:ascii="Arial" w:eastAsia="宋体" w:hAnsi="Arial" w:cs="Arial"/>
          <w:b/>
          <w:bCs/>
          <w:color w:val="000000"/>
          <w:sz w:val="23"/>
          <w:szCs w:val="23"/>
          <w:lang w:val="en-US" w:eastAsia="zh-TW"/>
        </w:rPr>
        <w:t>」</w:t>
      </w:r>
      <w:r w:rsidR="00BF0247" w:rsidRPr="00BF0247">
        <w:rPr>
          <w:rFonts w:ascii="Arial" w:eastAsia="宋体" w:hAnsi="Arial" w:cs="Arial" w:hint="eastAsia"/>
          <w:b/>
          <w:bCs/>
          <w:color w:val="000000"/>
          <w:sz w:val="23"/>
          <w:szCs w:val="23"/>
          <w:lang w:val="en-US" w:eastAsia="zh-TW"/>
        </w:rPr>
        <w:t>建設縱深推進</w:t>
      </w:r>
    </w:p>
    <w:p w14:paraId="47E4D0BD" w14:textId="5C1147ED" w:rsidR="00CF4670" w:rsidRPr="00BF0247" w:rsidRDefault="00BF0247" w:rsidP="009432A2">
      <w:pPr>
        <w:widowControl w:val="0"/>
        <w:spacing w:after="0" w:line="240" w:lineRule="auto"/>
        <w:ind w:left="426"/>
        <w:jc w:val="both"/>
        <w:rPr>
          <w:rFonts w:ascii="Arial" w:eastAsia="宋体" w:hAnsi="Arial" w:cs="Arial"/>
          <w:sz w:val="23"/>
          <w:szCs w:val="23"/>
          <w:lang w:eastAsia="zh-TW"/>
        </w:rPr>
      </w:pPr>
      <w:r w:rsidRPr="00BF0247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本公司</w:t>
      </w:r>
      <w:proofErr w:type="gramStart"/>
      <w:r w:rsidRPr="00BF0247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圍繞線上化</w:t>
      </w:r>
      <w:proofErr w:type="gramEnd"/>
      <w:r w:rsidRPr="00BF0247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、</w:t>
      </w:r>
      <w:r w:rsidR="00F07A04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數據</w:t>
      </w:r>
      <w:r w:rsidRPr="00BF0247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化、</w:t>
      </w:r>
      <w:r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智能</w:t>
      </w:r>
      <w:r w:rsidRPr="00BF0247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化、</w:t>
      </w:r>
      <w:r w:rsidR="00F07A04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平台</w:t>
      </w:r>
      <w:r w:rsidRPr="00BF0247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化、生態化方向，不斷提升</w:t>
      </w:r>
      <w:r w:rsidRPr="00B709AD">
        <w:rPr>
          <w:rFonts w:ascii="Arial" w:eastAsia="宋体" w:hAnsi="Arial" w:cs="Arial"/>
          <w:kern w:val="2"/>
          <w:sz w:val="23"/>
          <w:szCs w:val="23"/>
          <w:lang w:val="en-US" w:eastAsia="zh-TW"/>
        </w:rPr>
        <w:t>「</w:t>
      </w:r>
      <w:r w:rsidRPr="00BF0247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人</w:t>
      </w:r>
      <w:r w:rsidRPr="00BF0247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+</w:t>
      </w:r>
      <w:r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數字</w:t>
      </w:r>
      <w:r w:rsidRPr="00BF0247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化</w:t>
      </w:r>
      <w:r w:rsidRPr="00B709AD">
        <w:rPr>
          <w:rFonts w:ascii="Arial" w:eastAsia="宋体" w:hAnsi="Arial" w:cs="Arial"/>
          <w:kern w:val="2"/>
          <w:sz w:val="23"/>
          <w:szCs w:val="23"/>
          <w:lang w:val="en-US" w:eastAsia="zh-TW"/>
        </w:rPr>
        <w:t>」</w:t>
      </w:r>
      <w:r w:rsidRPr="00BF0247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服務</w:t>
      </w:r>
      <w:r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水平</w:t>
      </w:r>
      <w:r w:rsidRPr="00BF0247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。費用投入方面，報告期內，本公司</w:t>
      </w:r>
      <w:r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信息</w:t>
      </w:r>
      <w:r w:rsidRPr="00BF0247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科技投入</w:t>
      </w:r>
      <w:r w:rsidRPr="00BF0247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52.06</w:t>
      </w:r>
      <w:r w:rsidRPr="00BF0247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億元，是本公司營業收入的</w:t>
      </w:r>
      <w:r w:rsidRPr="00BF0247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3.21%</w:t>
      </w:r>
      <w:r w:rsidRPr="00BF0247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。</w:t>
      </w:r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零售金融</w:t>
      </w:r>
      <w:r>
        <w:rPr>
          <w:rFonts w:ascii="Arial" w:eastAsia="宋体" w:hAnsi="Arial" w:cs="Arial" w:hint="eastAsia"/>
          <w:sz w:val="23"/>
          <w:szCs w:val="23"/>
          <w:lang w:eastAsia="zh-TW"/>
        </w:rPr>
        <w:t>數字</w:t>
      </w:r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化服務方面，招商銀行</w:t>
      </w:r>
      <w:r w:rsidRPr="00BF0247">
        <w:rPr>
          <w:rFonts w:ascii="Arial" w:eastAsia="宋体" w:hAnsi="Arial" w:cs="Arial"/>
          <w:sz w:val="23"/>
          <w:szCs w:val="23"/>
          <w:lang w:eastAsia="zh-TW"/>
        </w:rPr>
        <w:t>App</w:t>
      </w:r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和掌上生活</w:t>
      </w:r>
      <w:r w:rsidRPr="00BF0247">
        <w:rPr>
          <w:rFonts w:ascii="Arial" w:eastAsia="宋体" w:hAnsi="Arial" w:cs="Arial"/>
          <w:sz w:val="23"/>
          <w:szCs w:val="23"/>
          <w:lang w:eastAsia="zh-TW"/>
        </w:rPr>
        <w:t>App</w:t>
      </w:r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月活躍用戶（</w:t>
      </w:r>
      <w:r w:rsidRPr="00BF0247">
        <w:rPr>
          <w:rFonts w:ascii="Arial" w:eastAsia="宋体" w:hAnsi="Arial" w:cs="Arial"/>
          <w:sz w:val="23"/>
          <w:szCs w:val="23"/>
          <w:lang w:eastAsia="zh-TW"/>
        </w:rPr>
        <w:t>MAU</w:t>
      </w:r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）達</w:t>
      </w:r>
      <w:r w:rsidRPr="00BF0247">
        <w:rPr>
          <w:rFonts w:ascii="Arial" w:eastAsia="宋体" w:hAnsi="Arial" w:cs="Arial"/>
          <w:sz w:val="23"/>
          <w:szCs w:val="23"/>
          <w:lang w:eastAsia="zh-TW"/>
        </w:rPr>
        <w:t>1.11</w:t>
      </w:r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億戶，通過</w:t>
      </w:r>
      <w:r>
        <w:rPr>
          <w:rFonts w:ascii="Arial" w:eastAsia="宋体" w:hAnsi="Arial" w:cs="Arial" w:hint="eastAsia"/>
          <w:sz w:val="23"/>
          <w:szCs w:val="23"/>
          <w:lang w:eastAsia="zh-TW"/>
        </w:rPr>
        <w:t>智能</w:t>
      </w:r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財富助理</w:t>
      </w:r>
      <w:r w:rsidRPr="00B709AD">
        <w:rPr>
          <w:rFonts w:ascii="Arial" w:eastAsia="宋体" w:hAnsi="Arial" w:cs="Arial"/>
          <w:kern w:val="2"/>
          <w:sz w:val="23"/>
          <w:szCs w:val="23"/>
          <w:lang w:val="en-US" w:eastAsia="zh-TW"/>
        </w:rPr>
        <w:t>「</w:t>
      </w:r>
      <w:r w:rsidRPr="00BF0247">
        <w:rPr>
          <w:rFonts w:ascii="Arial" w:eastAsia="宋体" w:hAnsi="Arial" w:cs="Arial"/>
          <w:sz w:val="23"/>
          <w:szCs w:val="23"/>
          <w:lang w:eastAsia="zh-TW"/>
        </w:rPr>
        <w:t>AI</w:t>
      </w:r>
      <w:proofErr w:type="gramStart"/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小招</w:t>
      </w:r>
      <w:proofErr w:type="gramEnd"/>
      <w:r w:rsidRPr="00B709AD">
        <w:rPr>
          <w:rFonts w:ascii="Arial" w:eastAsia="宋体" w:hAnsi="Arial" w:cs="Arial"/>
          <w:kern w:val="2"/>
          <w:sz w:val="23"/>
          <w:szCs w:val="23"/>
          <w:lang w:val="en-US" w:eastAsia="zh-TW"/>
        </w:rPr>
        <w:t>」</w:t>
      </w:r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為零售客戶提供更便捷多樣的服務，</w:t>
      </w:r>
      <w:r w:rsidRPr="00BF0247">
        <w:rPr>
          <w:rFonts w:ascii="Arial" w:eastAsia="宋体" w:hAnsi="Arial" w:cs="Arial"/>
          <w:sz w:val="23"/>
          <w:szCs w:val="23"/>
          <w:lang w:eastAsia="zh-TW"/>
        </w:rPr>
        <w:t>「</w:t>
      </w:r>
      <w:r w:rsidRPr="00BF0247">
        <w:rPr>
          <w:rFonts w:ascii="Arial" w:eastAsia="宋体" w:hAnsi="Arial" w:cs="Arial"/>
          <w:sz w:val="23"/>
          <w:szCs w:val="23"/>
          <w:lang w:eastAsia="zh-TW"/>
        </w:rPr>
        <w:t>AI</w:t>
      </w:r>
      <w:proofErr w:type="gramStart"/>
      <w:r w:rsidRPr="00BF0247">
        <w:rPr>
          <w:rFonts w:ascii="Arial" w:eastAsia="宋体" w:hAnsi="Arial" w:cs="Arial"/>
          <w:sz w:val="23"/>
          <w:szCs w:val="23"/>
          <w:lang w:eastAsia="zh-TW"/>
        </w:rPr>
        <w:t>小招</w:t>
      </w:r>
      <w:proofErr w:type="gramEnd"/>
      <w:r w:rsidRPr="00BF0247">
        <w:rPr>
          <w:rFonts w:ascii="Arial" w:eastAsia="宋体" w:hAnsi="Arial" w:cs="Arial"/>
          <w:sz w:val="23"/>
          <w:szCs w:val="23"/>
          <w:lang w:eastAsia="zh-TW"/>
        </w:rPr>
        <w:t>」</w:t>
      </w:r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服務</w:t>
      </w:r>
      <w:r>
        <w:rPr>
          <w:rFonts w:ascii="Arial" w:eastAsia="宋体" w:hAnsi="Arial" w:cs="Arial" w:hint="eastAsia"/>
          <w:sz w:val="23"/>
          <w:szCs w:val="23"/>
          <w:lang w:eastAsia="zh-TW"/>
        </w:rPr>
        <w:t>用戶</w:t>
      </w:r>
      <w:r w:rsidRPr="00BF0247">
        <w:rPr>
          <w:rFonts w:ascii="Arial" w:eastAsia="宋体" w:hAnsi="Arial" w:cs="Arial"/>
          <w:sz w:val="23"/>
          <w:szCs w:val="23"/>
          <w:lang w:eastAsia="zh-TW"/>
        </w:rPr>
        <w:t>1,172.88</w:t>
      </w:r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萬戶，同比增長</w:t>
      </w:r>
      <w:r w:rsidRPr="00BF0247">
        <w:rPr>
          <w:rFonts w:ascii="Arial" w:eastAsia="宋体" w:hAnsi="Arial" w:cs="Arial"/>
          <w:sz w:val="23"/>
          <w:szCs w:val="23"/>
          <w:lang w:eastAsia="zh-TW"/>
        </w:rPr>
        <w:t>140.84%</w:t>
      </w:r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。批發金融</w:t>
      </w:r>
      <w:r>
        <w:rPr>
          <w:rFonts w:ascii="Arial" w:eastAsia="宋体" w:hAnsi="Arial" w:cs="Arial" w:hint="eastAsia"/>
          <w:sz w:val="23"/>
          <w:szCs w:val="23"/>
          <w:lang w:eastAsia="zh-TW"/>
        </w:rPr>
        <w:t>數字</w:t>
      </w:r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化服務方面，公司客戶基礎</w:t>
      </w:r>
      <w:proofErr w:type="gramStart"/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服務線上化</w:t>
      </w:r>
      <w:proofErr w:type="gramEnd"/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率</w:t>
      </w:r>
      <w:r w:rsidRPr="00BF0247">
        <w:rPr>
          <w:rFonts w:ascii="Arial" w:eastAsia="宋体" w:hAnsi="Arial" w:cs="Arial"/>
          <w:sz w:val="23"/>
          <w:szCs w:val="23"/>
          <w:lang w:eastAsia="zh-TW"/>
        </w:rPr>
        <w:t>95.65%</w:t>
      </w:r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，融資</w:t>
      </w:r>
      <w:proofErr w:type="gramStart"/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業務線上化</w:t>
      </w:r>
      <w:proofErr w:type="gramEnd"/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率</w:t>
      </w:r>
      <w:r w:rsidRPr="00BF0247">
        <w:rPr>
          <w:rFonts w:ascii="Arial" w:eastAsia="宋体" w:hAnsi="Arial" w:cs="Arial"/>
          <w:sz w:val="23"/>
          <w:szCs w:val="23"/>
          <w:lang w:eastAsia="zh-TW"/>
        </w:rPr>
        <w:t>89.88%</w:t>
      </w:r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，較上年末提升</w:t>
      </w:r>
      <w:r w:rsidRPr="00BF0247">
        <w:rPr>
          <w:rFonts w:ascii="Arial" w:eastAsia="宋体" w:hAnsi="Arial" w:cs="Arial"/>
          <w:sz w:val="23"/>
          <w:szCs w:val="23"/>
          <w:lang w:eastAsia="zh-TW"/>
        </w:rPr>
        <w:t>7.74</w:t>
      </w:r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個百分點，外匯</w:t>
      </w:r>
      <w:proofErr w:type="gramStart"/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業務線上化</w:t>
      </w:r>
      <w:proofErr w:type="gramEnd"/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率</w:t>
      </w:r>
      <w:r w:rsidRPr="00BF0247">
        <w:rPr>
          <w:rFonts w:ascii="Arial" w:eastAsia="宋体" w:hAnsi="Arial" w:cs="Arial"/>
          <w:sz w:val="23"/>
          <w:szCs w:val="23"/>
          <w:lang w:eastAsia="zh-TW"/>
        </w:rPr>
        <w:t>73.57%</w:t>
      </w:r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，較上年末提升</w:t>
      </w:r>
      <w:r w:rsidRPr="00BF0247">
        <w:rPr>
          <w:rFonts w:ascii="Arial" w:eastAsia="宋体" w:hAnsi="Arial" w:cs="Arial"/>
          <w:sz w:val="23"/>
          <w:szCs w:val="23"/>
          <w:lang w:eastAsia="zh-TW"/>
        </w:rPr>
        <w:t>8.08</w:t>
      </w:r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個百分點。風險管理方面，</w:t>
      </w:r>
      <w:r w:rsidRPr="00BF0247">
        <w:rPr>
          <w:rFonts w:ascii="Arial" w:eastAsia="宋体" w:hAnsi="Arial" w:cs="Arial"/>
          <w:sz w:val="23"/>
          <w:szCs w:val="23"/>
          <w:lang w:eastAsia="zh-TW"/>
        </w:rPr>
        <w:t>「</w:t>
      </w:r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天秤</w:t>
      </w:r>
      <w:r w:rsidRPr="00BF0247">
        <w:rPr>
          <w:rFonts w:ascii="Arial" w:eastAsia="宋体" w:hAnsi="Arial" w:cs="Arial"/>
          <w:sz w:val="23"/>
          <w:szCs w:val="23"/>
          <w:lang w:eastAsia="zh-TW"/>
        </w:rPr>
        <w:t>」</w:t>
      </w:r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將非持卡人</w:t>
      </w:r>
      <w:proofErr w:type="gramStart"/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偽冒及盜用</w:t>
      </w:r>
      <w:proofErr w:type="gramEnd"/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金額比例降低至千萬分之</w:t>
      </w:r>
      <w:r w:rsidRPr="00BF0247">
        <w:rPr>
          <w:rFonts w:ascii="Arial" w:eastAsia="宋体" w:hAnsi="Arial" w:cs="Arial"/>
          <w:sz w:val="23"/>
          <w:szCs w:val="23"/>
          <w:lang w:eastAsia="zh-TW"/>
        </w:rPr>
        <w:t>0.1</w:t>
      </w:r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。</w:t>
      </w:r>
      <w:proofErr w:type="gramStart"/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內部運</w:t>
      </w:r>
      <w:proofErr w:type="gramEnd"/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營方面，包括海螺</w:t>
      </w:r>
      <w:r w:rsidRPr="00BF0247">
        <w:rPr>
          <w:rFonts w:ascii="Arial" w:eastAsia="宋体" w:hAnsi="Arial" w:cs="Arial"/>
          <w:sz w:val="23"/>
          <w:szCs w:val="23"/>
          <w:lang w:eastAsia="zh-TW"/>
        </w:rPr>
        <w:t>RPA</w:t>
      </w:r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、</w:t>
      </w:r>
      <w:r w:rsidRPr="00BF0247">
        <w:rPr>
          <w:rFonts w:ascii="Arial" w:eastAsia="宋体" w:hAnsi="Arial" w:cs="Arial"/>
          <w:sz w:val="23"/>
          <w:szCs w:val="23"/>
          <w:lang w:eastAsia="zh-TW"/>
        </w:rPr>
        <w:t>AI</w:t>
      </w:r>
      <w:r w:rsidR="00F07A04">
        <w:rPr>
          <w:rFonts w:ascii="Arial" w:eastAsia="宋体" w:hAnsi="Arial" w:cs="Arial" w:hint="eastAsia"/>
          <w:sz w:val="23"/>
          <w:szCs w:val="23"/>
          <w:lang w:eastAsia="zh-TW"/>
        </w:rPr>
        <w:t>智能</w:t>
      </w:r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客服、</w:t>
      </w:r>
      <w:r w:rsidRPr="00BF0247">
        <w:rPr>
          <w:rFonts w:ascii="Arial" w:eastAsia="宋体" w:hAnsi="Arial" w:cs="Arial"/>
          <w:sz w:val="23"/>
          <w:szCs w:val="23"/>
          <w:lang w:eastAsia="zh-TW"/>
        </w:rPr>
        <w:t>AI</w:t>
      </w:r>
      <w:r>
        <w:rPr>
          <w:rFonts w:ascii="Arial" w:eastAsia="宋体" w:hAnsi="Arial" w:cs="Arial" w:hint="eastAsia"/>
          <w:sz w:val="23"/>
          <w:szCs w:val="23"/>
          <w:lang w:eastAsia="zh-TW"/>
        </w:rPr>
        <w:t>模擬</w:t>
      </w:r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人、</w:t>
      </w:r>
      <w:proofErr w:type="gramStart"/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語音質檢等</w:t>
      </w:r>
      <w:proofErr w:type="gramEnd"/>
      <w:r w:rsidR="006E7E3F">
        <w:rPr>
          <w:rFonts w:ascii="Arial" w:eastAsia="宋体" w:hAnsi="Arial" w:cs="Arial" w:hint="eastAsia"/>
          <w:sz w:val="23"/>
          <w:szCs w:val="23"/>
          <w:lang w:eastAsia="zh-TW"/>
        </w:rPr>
        <w:t>智能</w:t>
      </w:r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化應用已在全行實現全職人力替代超過</w:t>
      </w:r>
      <w:r w:rsidRPr="00BF0247">
        <w:rPr>
          <w:rFonts w:ascii="Arial" w:eastAsia="宋体" w:hAnsi="Arial" w:cs="Arial"/>
          <w:sz w:val="23"/>
          <w:szCs w:val="23"/>
          <w:lang w:eastAsia="zh-TW"/>
        </w:rPr>
        <w:t>1.4</w:t>
      </w:r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萬人。</w:t>
      </w:r>
      <w:r w:rsidR="006E7E3F">
        <w:rPr>
          <w:rFonts w:ascii="Arial" w:eastAsia="宋体" w:hAnsi="Arial" w:cs="Arial" w:hint="eastAsia"/>
          <w:sz w:val="23"/>
          <w:szCs w:val="23"/>
          <w:lang w:eastAsia="zh-TW"/>
        </w:rPr>
        <w:t>數字</w:t>
      </w:r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化基礎設施方面，雲</w:t>
      </w:r>
      <w:r w:rsidR="00F07A04">
        <w:rPr>
          <w:rFonts w:ascii="Arial" w:eastAsia="宋体" w:hAnsi="Arial" w:cs="Arial"/>
          <w:sz w:val="23"/>
          <w:szCs w:val="23"/>
          <w:lang w:eastAsia="zh-TW"/>
        </w:rPr>
        <w:t>平台</w:t>
      </w:r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整體可用性</w:t>
      </w:r>
      <w:r w:rsidR="00CF4670" w:rsidRPr="00BF0247">
        <w:rPr>
          <w:rStyle w:val="af"/>
          <w:rFonts w:ascii="Arial" w:eastAsia="宋体" w:hAnsi="Arial" w:cs="Arial"/>
          <w:sz w:val="23"/>
          <w:szCs w:val="23"/>
        </w:rPr>
        <w:footnoteReference w:id="5"/>
      </w:r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達</w:t>
      </w:r>
      <w:r w:rsidRPr="00BF0247">
        <w:rPr>
          <w:rFonts w:ascii="Arial" w:eastAsia="宋体" w:hAnsi="Arial" w:cs="Arial"/>
          <w:sz w:val="23"/>
          <w:szCs w:val="23"/>
          <w:lang w:eastAsia="zh-TW"/>
        </w:rPr>
        <w:t>99.999%</w:t>
      </w:r>
      <w:r w:rsidRPr="00BF0247">
        <w:rPr>
          <w:rFonts w:ascii="Arial" w:eastAsia="宋体" w:hAnsi="Arial" w:cs="Arial" w:hint="eastAsia"/>
          <w:sz w:val="23"/>
          <w:szCs w:val="23"/>
          <w:lang w:eastAsia="zh-TW"/>
        </w:rPr>
        <w:t>。</w:t>
      </w:r>
    </w:p>
    <w:p w14:paraId="00C78684" w14:textId="77777777" w:rsidR="00B52B40" w:rsidRDefault="00B52B40" w:rsidP="009432A2">
      <w:pPr>
        <w:widowControl w:val="0"/>
        <w:spacing w:after="0" w:line="240" w:lineRule="auto"/>
        <w:ind w:left="426"/>
        <w:jc w:val="both"/>
        <w:rPr>
          <w:rFonts w:ascii="Arial" w:eastAsia="宋体" w:hAnsi="Arial" w:cs="Arial"/>
          <w:sz w:val="23"/>
          <w:szCs w:val="23"/>
          <w:lang w:eastAsia="zh-TW"/>
        </w:rPr>
      </w:pPr>
    </w:p>
    <w:p w14:paraId="15B7E869" w14:textId="77492852" w:rsidR="00455F67" w:rsidRPr="006E7E3F" w:rsidRDefault="006E7E3F" w:rsidP="00455F67">
      <w:pPr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宋体" w:hAnsi="Arial" w:cs="Arial"/>
          <w:b/>
          <w:bCs/>
          <w:color w:val="000000"/>
          <w:sz w:val="23"/>
          <w:szCs w:val="23"/>
          <w:lang w:val="en-US"/>
        </w:rPr>
      </w:pPr>
      <w:r w:rsidRPr="006E7E3F">
        <w:rPr>
          <w:rFonts w:ascii="Arial" w:eastAsia="宋体" w:hAnsi="Arial" w:cs="Arial" w:hint="eastAsia"/>
          <w:b/>
          <w:bCs/>
          <w:color w:val="000000"/>
          <w:sz w:val="23"/>
          <w:szCs w:val="23"/>
          <w:lang w:val="en-US" w:eastAsia="zh-TW"/>
        </w:rPr>
        <w:t>全面風險管理能力增強</w:t>
      </w:r>
    </w:p>
    <w:p w14:paraId="354B84D9" w14:textId="5FBD2FE2" w:rsidR="0029640F" w:rsidRDefault="006E7E3F" w:rsidP="00351984">
      <w:pPr>
        <w:widowControl w:val="0"/>
        <w:spacing w:after="0" w:line="240" w:lineRule="auto"/>
        <w:ind w:left="426"/>
        <w:jc w:val="both"/>
        <w:rPr>
          <w:rFonts w:ascii="Arial" w:eastAsia="PMingLiU" w:hAnsi="Arial" w:cs="Arial"/>
          <w:color w:val="000000"/>
          <w:sz w:val="23"/>
          <w:szCs w:val="23"/>
          <w:lang w:val="en-US" w:eastAsia="zh-TW"/>
        </w:rPr>
      </w:pPr>
      <w:r w:rsidRPr="006E7E3F">
        <w:rPr>
          <w:rFonts w:ascii="Arial" w:eastAsia="宋体" w:hAnsi="Arial" w:cs="Arial" w:hint="eastAsia"/>
          <w:b/>
          <w:bCs/>
          <w:color w:val="000000"/>
          <w:sz w:val="23"/>
          <w:szCs w:val="23"/>
          <w:lang w:val="en-US" w:eastAsia="zh-TW"/>
        </w:rPr>
        <w:t>從嚴資產分類、充分暴露風險，積極處置不良資產，資產</w:t>
      </w:r>
      <w:r>
        <w:rPr>
          <w:rFonts w:ascii="Arial" w:eastAsia="宋体" w:hAnsi="Arial" w:cs="Arial" w:hint="eastAsia"/>
          <w:b/>
          <w:bCs/>
          <w:color w:val="000000"/>
          <w:sz w:val="23"/>
          <w:szCs w:val="23"/>
          <w:lang w:val="en-US" w:eastAsia="zh-TW"/>
        </w:rPr>
        <w:t>質量</w:t>
      </w:r>
      <w:r w:rsidRPr="006E7E3F">
        <w:rPr>
          <w:rFonts w:ascii="Arial" w:eastAsia="宋体" w:hAnsi="Arial" w:cs="Arial" w:hint="eastAsia"/>
          <w:b/>
          <w:bCs/>
          <w:color w:val="000000"/>
          <w:sz w:val="23"/>
          <w:szCs w:val="23"/>
          <w:lang w:val="en-US" w:eastAsia="zh-TW"/>
        </w:rPr>
        <w:t>保持平穩。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截至報告期末，零售不良貸款餘額</w:t>
      </w:r>
      <w:r w:rsidRPr="006E7E3F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279.75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億元，較上年末減少</w:t>
      </w:r>
      <w:r w:rsidRPr="006E7E3F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0.68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億元，不良貸款率</w:t>
      </w:r>
      <w:r w:rsidRPr="006E7E3F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0.84%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，較上年末下降</w:t>
      </w:r>
      <w:r w:rsidRPr="006E7E3F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0.05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個百分點，其中，信用卡貸款不良餘額</w:t>
      </w:r>
      <w:r w:rsidRPr="006E7E3F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152.01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億元，較上年末減少</w:t>
      </w:r>
      <w:r w:rsidRPr="006E7E3F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4.49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億元，信用卡貸款不良率</w:t>
      </w:r>
      <w:r w:rsidRPr="006E7E3F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1.68%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，較上年末下降</w:t>
      </w:r>
      <w:r w:rsidRPr="006E7E3F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0.09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個百分點。受部分高負債房地產客戶及個別經營不善的公司客戶風險暴露影響，公司貸款不良餘額</w:t>
      </w:r>
      <w:r w:rsidRPr="006E7E3F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326.66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億元，較上年末增加</w:t>
      </w:r>
      <w:r w:rsidRPr="006E7E3F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27.05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億元，公司貸款不良率</w:t>
      </w:r>
      <w:r w:rsidRPr="006E7E3F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1.27%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，較上年末上升</w:t>
      </w:r>
      <w:r w:rsidRPr="006E7E3F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0.01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個百分點。本集團對逾期貸款採取審慎的</w:t>
      </w:r>
      <w:r w:rsidR="009A3D07" w:rsidRPr="003A699D">
        <w:rPr>
          <w:rFonts w:ascii="宋体" w:eastAsia="宋体" w:hAnsi="宋体" w:cs="Arial" w:hint="eastAsia"/>
          <w:color w:val="000000"/>
          <w:sz w:val="23"/>
          <w:szCs w:val="23"/>
          <w:lang w:val="en-US" w:eastAsia="zh-TW"/>
        </w:rPr>
        <w:t>分類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標準，不良貸款與逾期</w:t>
      </w:r>
      <w:r w:rsidRPr="006E7E3F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90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天以上貸款的比值為</w:t>
      </w:r>
      <w:r w:rsidRPr="006E7E3F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1.29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；本公司不良貸款與逾期</w:t>
      </w:r>
      <w:r w:rsidRPr="006E7E3F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60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天以上貸款的比值為</w:t>
      </w:r>
      <w:r w:rsidRPr="006E7E3F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1.08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。</w:t>
      </w:r>
    </w:p>
    <w:p w14:paraId="6AEF576F" w14:textId="77777777" w:rsidR="009A3D07" w:rsidRPr="009A3D07" w:rsidRDefault="009A3D07" w:rsidP="00351984">
      <w:pPr>
        <w:widowControl w:val="0"/>
        <w:spacing w:after="0" w:line="240" w:lineRule="auto"/>
        <w:ind w:left="426"/>
        <w:jc w:val="both"/>
        <w:rPr>
          <w:rFonts w:ascii="Arial" w:eastAsia="PMingLiU" w:hAnsi="Arial" w:cs="Arial"/>
          <w:color w:val="000000"/>
          <w:sz w:val="23"/>
          <w:szCs w:val="23"/>
          <w:lang w:val="en-US" w:eastAsia="zh-TW"/>
        </w:rPr>
      </w:pPr>
    </w:p>
    <w:p w14:paraId="264F7E20" w14:textId="6B37680E" w:rsidR="00CF4670" w:rsidRPr="006E7E3F" w:rsidRDefault="006E7E3F" w:rsidP="00455F67">
      <w:pPr>
        <w:widowControl w:val="0"/>
        <w:spacing w:after="0" w:line="240" w:lineRule="auto"/>
        <w:ind w:left="426"/>
        <w:jc w:val="both"/>
        <w:rPr>
          <w:rFonts w:ascii="Arial" w:eastAsia="宋体" w:hAnsi="Arial" w:cs="Arial"/>
          <w:color w:val="000000"/>
          <w:sz w:val="23"/>
          <w:szCs w:val="23"/>
          <w:lang w:val="en-US" w:eastAsia="zh-TW"/>
        </w:rPr>
      </w:pP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報告期內，本公司新生成不良貸款</w:t>
      </w:r>
      <w:r w:rsidRPr="006E7E3F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305.09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億元，同比減少</w:t>
      </w:r>
      <w:r w:rsidRPr="006E7E3F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1.93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億元；不良貸款生成率（年化）</w:t>
      </w:r>
      <w:r w:rsidRPr="006E7E3F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1.04%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，同比下降</w:t>
      </w:r>
      <w:r w:rsidRPr="006E7E3F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0.09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個百分點。報告期內，本公司積極處置不良資產，運用多種途徑化解風險資產，報告期內共處置不良貸款</w:t>
      </w:r>
      <w:r w:rsidRPr="006E7E3F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282.78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億元，其中，常規核銷</w:t>
      </w:r>
      <w:r w:rsidRPr="006E7E3F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110.51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億元，不良資產證券化</w:t>
      </w:r>
      <w:r w:rsidRPr="006E7E3F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113.76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億元，</w:t>
      </w:r>
      <w:proofErr w:type="gramStart"/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清收</w:t>
      </w:r>
      <w:r w:rsidRPr="006E7E3F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56.37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</w:t>
      </w:r>
      <w:proofErr w:type="gramEnd"/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，通過抵債、轉讓、</w:t>
      </w:r>
      <w:proofErr w:type="gramStart"/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重組上遷</w:t>
      </w:r>
      <w:proofErr w:type="gramEnd"/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、減免等其他方式處置</w:t>
      </w:r>
      <w:r w:rsidRPr="006E7E3F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2.14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億元。</w:t>
      </w:r>
    </w:p>
    <w:p w14:paraId="1CF62892" w14:textId="77777777" w:rsidR="00B52B40" w:rsidRDefault="00B52B40" w:rsidP="00455F67">
      <w:pPr>
        <w:widowControl w:val="0"/>
        <w:spacing w:after="0" w:line="240" w:lineRule="auto"/>
        <w:ind w:left="426"/>
        <w:jc w:val="both"/>
        <w:rPr>
          <w:rFonts w:ascii="Arial" w:eastAsia="宋体" w:hAnsi="Arial" w:cs="Arial"/>
          <w:color w:val="000000"/>
          <w:sz w:val="23"/>
          <w:szCs w:val="23"/>
          <w:lang w:val="en-US" w:eastAsia="zh-TW"/>
        </w:rPr>
      </w:pPr>
    </w:p>
    <w:p w14:paraId="316D58D2" w14:textId="021A16A3" w:rsidR="00851555" w:rsidRDefault="006E7E3F" w:rsidP="0050732F">
      <w:pPr>
        <w:widowControl w:val="0"/>
        <w:spacing w:after="0" w:line="240" w:lineRule="auto"/>
        <w:ind w:left="426"/>
        <w:jc w:val="both"/>
        <w:rPr>
          <w:rFonts w:ascii="Arial" w:eastAsia="PMingLiU" w:hAnsi="Arial" w:cs="Arial"/>
          <w:color w:val="000000"/>
          <w:sz w:val="23"/>
          <w:szCs w:val="23"/>
          <w:lang w:val="en-US" w:eastAsia="zh-TW"/>
        </w:rPr>
      </w:pPr>
      <w:r w:rsidRPr="006E7E3F">
        <w:rPr>
          <w:rFonts w:ascii="Arial" w:eastAsia="宋体" w:hAnsi="Arial" w:cs="Arial" w:hint="eastAsia"/>
          <w:b/>
          <w:bCs/>
          <w:color w:val="000000"/>
          <w:sz w:val="23"/>
          <w:szCs w:val="23"/>
          <w:lang w:val="en-US" w:eastAsia="zh-TW"/>
        </w:rPr>
        <w:t>有效管</w:t>
      </w:r>
      <w:proofErr w:type="gramStart"/>
      <w:r w:rsidRPr="006E7E3F">
        <w:rPr>
          <w:rFonts w:ascii="Arial" w:eastAsia="宋体" w:hAnsi="Arial" w:cs="Arial" w:hint="eastAsia"/>
          <w:b/>
          <w:bCs/>
          <w:color w:val="000000"/>
          <w:sz w:val="23"/>
          <w:szCs w:val="23"/>
          <w:lang w:val="en-US" w:eastAsia="zh-TW"/>
        </w:rPr>
        <w:t>控涉房業務</w:t>
      </w:r>
      <w:proofErr w:type="gramEnd"/>
      <w:r w:rsidRPr="006E7E3F">
        <w:rPr>
          <w:rFonts w:ascii="Arial" w:eastAsia="宋体" w:hAnsi="Arial" w:cs="Arial" w:hint="eastAsia"/>
          <w:b/>
          <w:bCs/>
          <w:color w:val="000000"/>
          <w:sz w:val="23"/>
          <w:szCs w:val="23"/>
          <w:lang w:val="en-US" w:eastAsia="zh-TW"/>
        </w:rPr>
        <w:t>、地方政府融資</w:t>
      </w:r>
      <w:r w:rsidR="00F07A04">
        <w:rPr>
          <w:rFonts w:ascii="Arial" w:eastAsia="宋体" w:hAnsi="Arial" w:cs="Arial"/>
          <w:b/>
          <w:bCs/>
          <w:color w:val="000000"/>
          <w:sz w:val="23"/>
          <w:szCs w:val="23"/>
          <w:lang w:val="en-US" w:eastAsia="zh-TW"/>
        </w:rPr>
        <w:t>平台</w:t>
      </w:r>
      <w:r w:rsidRPr="006E7E3F">
        <w:rPr>
          <w:rFonts w:ascii="Arial" w:eastAsia="宋体" w:hAnsi="Arial" w:cs="Arial" w:hint="eastAsia"/>
          <w:b/>
          <w:bCs/>
          <w:color w:val="000000"/>
          <w:sz w:val="23"/>
          <w:szCs w:val="23"/>
          <w:lang w:val="en-US" w:eastAsia="zh-TW"/>
        </w:rPr>
        <w:t>的風險，資產</w:t>
      </w:r>
      <w:r>
        <w:rPr>
          <w:rFonts w:ascii="Arial" w:eastAsia="宋体" w:hAnsi="Arial" w:cs="Arial" w:hint="eastAsia"/>
          <w:b/>
          <w:bCs/>
          <w:color w:val="000000"/>
          <w:sz w:val="23"/>
          <w:szCs w:val="23"/>
          <w:lang w:val="en-US" w:eastAsia="zh-TW"/>
        </w:rPr>
        <w:t>質量</w:t>
      </w:r>
      <w:r w:rsidRPr="006E7E3F">
        <w:rPr>
          <w:rFonts w:ascii="Arial" w:eastAsia="宋体" w:hAnsi="Arial" w:cs="Arial" w:hint="eastAsia"/>
          <w:b/>
          <w:bCs/>
          <w:color w:val="000000"/>
          <w:sz w:val="23"/>
          <w:szCs w:val="23"/>
          <w:lang w:val="en-US" w:eastAsia="zh-TW"/>
        </w:rPr>
        <w:t>總體可控。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截至報告期末，本公司房地產業貸款餘額</w:t>
      </w:r>
      <w:r w:rsidRPr="006E7E3F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3,150.11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億元，較上年末減少</w:t>
      </w:r>
      <w:r w:rsidRPr="006E7E3F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187.04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億元，占本公司貸款和墊款總額的</w:t>
      </w:r>
      <w:r w:rsidRPr="006E7E3F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5.26%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，較上年末下降</w:t>
      </w:r>
      <w:r w:rsidRPr="006E7E3F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0.57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個百分點。本公司房地產業貸款客戶結構和區域結構保持良好，其中，高信用評級客戶貸款餘額占比超過七成；從</w:t>
      </w:r>
      <w:r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項目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區域看，本公司</w:t>
      </w:r>
      <w:r w:rsidRPr="006E7E3F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85%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以上的房地產開發貸款餘額分佈在一、二線城市城區。本公司房地產業不良貸款率</w:t>
      </w:r>
      <w:r w:rsidRPr="006E7E3F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5.45%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，較上年末上升</w:t>
      </w:r>
      <w:r w:rsidRPr="006E7E3F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1.46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個百分點，主要是受個別高負債房地產客戶風險進一步釋放、風險處置進度較慢和房地產貸款餘額下降的共同影響。本集團理財資金出資、委託貸款、合作機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lastRenderedPageBreak/>
        <w:t>構主動管理的代銷信託、主承銷債務融資工具等不承擔信用風險的業務餘額合計</w:t>
      </w:r>
      <w:r w:rsidRPr="006E7E3F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2,475.47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億元，較上年末下降</w:t>
      </w:r>
      <w:r w:rsidRPr="006E7E3F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17.58%</w:t>
      </w:r>
      <w:r w:rsidRPr="006E7E3F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。</w:t>
      </w:r>
    </w:p>
    <w:p w14:paraId="1C5B8204" w14:textId="77777777" w:rsidR="003A699D" w:rsidRPr="003A699D" w:rsidRDefault="003A699D" w:rsidP="0050732F">
      <w:pPr>
        <w:widowControl w:val="0"/>
        <w:spacing w:after="0" w:line="240" w:lineRule="auto"/>
        <w:ind w:left="426"/>
        <w:jc w:val="both"/>
        <w:rPr>
          <w:rFonts w:ascii="Arial" w:eastAsia="PMingLiU" w:hAnsi="Arial" w:cs="Arial" w:hint="eastAsia"/>
          <w:color w:val="000000"/>
          <w:sz w:val="23"/>
          <w:szCs w:val="23"/>
          <w:lang w:val="en-US" w:eastAsia="zh-TW"/>
        </w:rPr>
      </w:pPr>
    </w:p>
    <w:p w14:paraId="51F17D54" w14:textId="742B6FB3" w:rsidR="00B52B40" w:rsidRPr="00D80A76" w:rsidRDefault="00D80A76" w:rsidP="0050732F">
      <w:pPr>
        <w:widowControl w:val="0"/>
        <w:spacing w:after="0" w:line="240" w:lineRule="auto"/>
        <w:ind w:left="426"/>
        <w:jc w:val="both"/>
        <w:rPr>
          <w:rFonts w:ascii="Arial" w:eastAsia="宋体" w:hAnsi="Arial" w:cs="Arial"/>
          <w:color w:val="000000"/>
          <w:sz w:val="23"/>
          <w:szCs w:val="23"/>
          <w:lang w:val="en-US" w:eastAsia="zh-TW"/>
        </w:rPr>
      </w:pPr>
      <w:r w:rsidRPr="00D80A7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截至報告期末，本公司</w:t>
      </w:r>
      <w:proofErr w:type="gramStart"/>
      <w:r w:rsidRPr="00D80A7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及招銀理財</w:t>
      </w:r>
      <w:proofErr w:type="gramEnd"/>
      <w:r w:rsidRPr="00D80A7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所涉及的地方政府融資</w:t>
      </w:r>
      <w:r w:rsidR="00F07A04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平台</w:t>
      </w:r>
      <w:r w:rsidRPr="00D80A7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廣義口徑業務餘額</w:t>
      </w:r>
      <w:r w:rsidRPr="00D80A76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2,485.73</w:t>
      </w:r>
      <w:r w:rsidRPr="00D80A7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億元（含實有及或有信貸、債券投資、自營及理財資金投資等業務），較上年末減少</w:t>
      </w:r>
      <w:r w:rsidRPr="00D80A76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150.66</w:t>
      </w:r>
      <w:r w:rsidRPr="00D80A7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億元。其中，境內公司貸款餘額</w:t>
      </w:r>
      <w:r w:rsidRPr="00D80A76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1,372.89</w:t>
      </w:r>
      <w:r w:rsidRPr="00D80A7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億元，較上年末增加</w:t>
      </w:r>
      <w:r w:rsidRPr="00D80A76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47.25</w:t>
      </w:r>
      <w:r w:rsidRPr="00D80A7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億元，占本公司貸款和墊款總額的</w:t>
      </w:r>
      <w:r w:rsidRPr="00D80A76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2.29%</w:t>
      </w:r>
      <w:r w:rsidRPr="00D80A7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，較上年末下降</w:t>
      </w:r>
      <w:r w:rsidRPr="00D80A76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0.03</w:t>
      </w:r>
      <w:r w:rsidRPr="00D80A7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個百分點。地方政府融資</w:t>
      </w:r>
      <w:r w:rsidR="00F07A04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平台</w:t>
      </w:r>
      <w:r w:rsidRPr="00D80A7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業務不良貸款率</w:t>
      </w:r>
      <w:r w:rsidRPr="00D80A76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0.14%</w:t>
      </w:r>
      <w:r w:rsidRPr="00D80A7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，資產</w:t>
      </w:r>
      <w:r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質量</w:t>
      </w:r>
      <w:r w:rsidRPr="00D80A7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保持較好水</w:t>
      </w:r>
      <w:r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平</w:t>
      </w:r>
      <w:r w:rsidRPr="00D80A76">
        <w:rPr>
          <w:rFonts w:ascii="Arial" w:eastAsia="宋体" w:hAnsi="Arial" w:cs="Arial" w:hint="eastAsia"/>
          <w:color w:val="000000"/>
          <w:sz w:val="23"/>
          <w:szCs w:val="23"/>
          <w:lang w:val="en-US" w:eastAsia="zh-TW"/>
        </w:rPr>
        <w:t>。</w:t>
      </w:r>
    </w:p>
    <w:p w14:paraId="4733DE24" w14:textId="77777777" w:rsidR="00061E17" w:rsidRPr="00CF4670" w:rsidRDefault="007C1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宋体" w:hAnsi="Arial" w:cs="Arial"/>
          <w:sz w:val="23"/>
          <w:szCs w:val="23"/>
          <w:lang w:val="en-US" w:eastAsia="zh-TW"/>
        </w:rPr>
      </w:pPr>
      <w:r w:rsidRPr="00CF4670">
        <w:rPr>
          <w:rFonts w:ascii="Arial" w:eastAsia="宋体" w:hAnsi="Arial" w:cs="Arial"/>
          <w:b/>
          <w:noProof/>
          <w:color w:val="000000"/>
          <w:kern w:val="2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B3D01C" wp14:editId="6243B02A">
                <wp:simplePos x="0" y="0"/>
                <wp:positionH relativeFrom="column">
                  <wp:posOffset>-40640</wp:posOffset>
                </wp:positionH>
                <wp:positionV relativeFrom="paragraph">
                  <wp:posOffset>185420</wp:posOffset>
                </wp:positionV>
                <wp:extent cx="1125220" cy="304800"/>
                <wp:effectExtent l="8255" t="0" r="0" b="0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22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0000"/>
                            </a:gs>
                            <a:gs pos="100000">
                              <a:srgbClr val="FF00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ectangle: Rounded Corners 8" o:spid="_x0000_s1026" o:spt="2" style="position:absolute;left:0pt;margin-left:-3.2pt;margin-top:14.6pt;height:24pt;width:88.6pt;z-index:-251655168;mso-width-relative:page;mso-height-relative:page;" fillcolor="#FF0000" filled="t" stroked="f" coordsize="21600,21600" arcsize="0.166666666666667" o:gfxdata="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uRk981gAAAAgBAAAPAAAAAAAAAAEAIAAAACIAAABkcnMvZG93bnJl&#10;di54bWxQSwECFAAUAAAACACHTuJATYF7pHECAADfBAAADgAAAAAAAAABACAAAAAlAQAAZHJzL2Uy&#10;b0RvYy54bWxQSwUGAAAAAAYABgBZAQAACAYAAAAA&#10;">
                <v:fill type="gradient" on="t" color2="#FFCCCC" angle="45" focus="100%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 w14:paraId="2BDDEDC3" w14:textId="79C438FD" w:rsidR="00061E17" w:rsidRPr="00CF4670" w:rsidRDefault="006D70A4">
      <w:pPr>
        <w:widowControl w:val="0"/>
        <w:spacing w:after="0" w:line="240" w:lineRule="auto"/>
        <w:jc w:val="both"/>
        <w:rPr>
          <w:rFonts w:ascii="Arial" w:eastAsia="宋体" w:hAnsi="Arial" w:cs="Arial"/>
          <w:b/>
          <w:color w:val="000000"/>
          <w:kern w:val="2"/>
          <w:sz w:val="23"/>
          <w:szCs w:val="23"/>
          <w:lang w:val="en-US"/>
        </w:rPr>
      </w:pPr>
      <w:r>
        <w:rPr>
          <w:rFonts w:ascii="Arial" w:eastAsia="宋体" w:hAnsi="Arial" w:cs="Arial" w:hint="eastAsia"/>
          <w:b/>
          <w:color w:val="000000"/>
          <w:kern w:val="2"/>
          <w:sz w:val="23"/>
          <w:szCs w:val="23"/>
          <w:lang w:val="en-US"/>
        </w:rPr>
        <w:t>三</w:t>
      </w:r>
      <w:r w:rsidR="007C101A" w:rsidRPr="00CF4670">
        <w:rPr>
          <w:rFonts w:ascii="Arial" w:eastAsia="宋体" w:hAnsi="Arial" w:cs="Arial"/>
          <w:b/>
          <w:color w:val="000000"/>
          <w:kern w:val="2"/>
          <w:sz w:val="23"/>
          <w:szCs w:val="23"/>
          <w:lang w:val="en-US"/>
        </w:rPr>
        <w:t>、</w:t>
      </w:r>
      <w:r w:rsidR="00D80A76" w:rsidRPr="00D80A76">
        <w:rPr>
          <w:rFonts w:ascii="Arial" w:eastAsia="宋体" w:hAnsi="Arial" w:cs="Arial" w:hint="eastAsia"/>
          <w:b/>
          <w:color w:val="000000"/>
          <w:kern w:val="2"/>
          <w:sz w:val="23"/>
          <w:szCs w:val="23"/>
          <w:lang w:val="en-US"/>
        </w:rPr>
        <w:t>展望和策略</w:t>
      </w:r>
    </w:p>
    <w:p w14:paraId="7BF70DC7" w14:textId="77777777" w:rsidR="00061E17" w:rsidRPr="00CF4670" w:rsidRDefault="00061E17">
      <w:pPr>
        <w:widowControl w:val="0"/>
        <w:spacing w:after="0" w:line="240" w:lineRule="auto"/>
        <w:jc w:val="both"/>
        <w:rPr>
          <w:rFonts w:ascii="Arial" w:eastAsia="宋体" w:hAnsi="Arial" w:cs="Arial"/>
          <w:sz w:val="23"/>
          <w:szCs w:val="23"/>
          <w:lang w:val="en-US"/>
        </w:rPr>
      </w:pPr>
    </w:p>
    <w:p w14:paraId="2B2276F2" w14:textId="2C338DD0" w:rsidR="00AB35A9" w:rsidRPr="00D80A76" w:rsidRDefault="00D80A76" w:rsidP="00AB35A9">
      <w:pPr>
        <w:widowControl w:val="0"/>
        <w:spacing w:after="0" w:line="240" w:lineRule="auto"/>
        <w:jc w:val="both"/>
        <w:rPr>
          <w:rFonts w:ascii="Arial" w:eastAsia="宋体" w:hAnsi="Arial" w:cs="Arial"/>
          <w:sz w:val="23"/>
          <w:szCs w:val="23"/>
          <w:lang w:val="en-HK" w:eastAsia="zh-TW"/>
        </w:rPr>
      </w:pPr>
      <w:r w:rsidRPr="00D80A76">
        <w:rPr>
          <w:rFonts w:ascii="Arial" w:eastAsia="宋体" w:hAnsi="Arial" w:cs="Arial" w:hint="eastAsia"/>
          <w:sz w:val="23"/>
          <w:szCs w:val="23"/>
          <w:lang w:val="en-HK" w:eastAsia="zh-TW"/>
        </w:rPr>
        <w:t>展望下半年，海外方面，</w:t>
      </w:r>
      <w:proofErr w:type="gramStart"/>
      <w:r w:rsidRPr="00D80A76">
        <w:rPr>
          <w:rFonts w:ascii="Arial" w:eastAsia="宋体" w:hAnsi="Arial" w:cs="Arial"/>
          <w:sz w:val="23"/>
          <w:szCs w:val="23"/>
          <w:lang w:val="en-HK" w:eastAsia="zh-TW"/>
        </w:rPr>
        <w:t>7</w:t>
      </w:r>
      <w:r w:rsidRPr="00D80A76">
        <w:rPr>
          <w:rFonts w:ascii="Arial" w:eastAsia="宋体" w:hAnsi="Arial" w:cs="Arial" w:hint="eastAsia"/>
          <w:sz w:val="23"/>
          <w:szCs w:val="23"/>
          <w:lang w:val="en-HK" w:eastAsia="zh-TW"/>
        </w:rPr>
        <w:t>月議息會議</w:t>
      </w:r>
      <w:proofErr w:type="gramEnd"/>
      <w:r w:rsidRPr="00D80A76">
        <w:rPr>
          <w:rFonts w:ascii="Arial" w:eastAsia="宋体" w:hAnsi="Arial" w:cs="Arial" w:hint="eastAsia"/>
          <w:sz w:val="23"/>
          <w:szCs w:val="23"/>
          <w:lang w:val="en-HK" w:eastAsia="zh-TW"/>
        </w:rPr>
        <w:t>後，</w:t>
      </w:r>
      <w:r w:rsidR="009A3D07" w:rsidRPr="003A699D">
        <w:rPr>
          <w:rFonts w:ascii="宋体" w:eastAsia="宋体" w:hAnsi="宋体" w:cs="Arial" w:hint="eastAsia"/>
          <w:sz w:val="23"/>
          <w:szCs w:val="23"/>
          <w:lang w:val="en-HK" w:eastAsia="zh-TW"/>
        </w:rPr>
        <w:t>美聯</w:t>
      </w:r>
      <w:proofErr w:type="gramStart"/>
      <w:r w:rsidR="009A3D07" w:rsidRPr="003A699D">
        <w:rPr>
          <w:rFonts w:ascii="宋体" w:eastAsia="宋体" w:hAnsi="宋体" w:cs="Arial" w:hint="eastAsia"/>
          <w:sz w:val="23"/>
          <w:szCs w:val="23"/>
          <w:lang w:val="en-HK" w:eastAsia="zh-TW"/>
        </w:rPr>
        <w:t>儲此輪</w:t>
      </w:r>
      <w:proofErr w:type="gramEnd"/>
      <w:r w:rsidR="009A3D07" w:rsidRPr="003A699D">
        <w:rPr>
          <w:rFonts w:ascii="宋体" w:eastAsia="宋体" w:hAnsi="宋体" w:cs="Arial" w:hint="eastAsia"/>
          <w:sz w:val="23"/>
          <w:szCs w:val="23"/>
          <w:lang w:val="en-HK" w:eastAsia="zh-TW"/>
        </w:rPr>
        <w:t>加息周期已位</w:t>
      </w:r>
      <w:proofErr w:type="gramStart"/>
      <w:r w:rsidR="009A3D07" w:rsidRPr="003A699D">
        <w:rPr>
          <w:rFonts w:ascii="宋体" w:eastAsia="宋体" w:hAnsi="宋体" w:cs="Arial" w:hint="eastAsia"/>
          <w:sz w:val="23"/>
          <w:szCs w:val="23"/>
          <w:lang w:val="en-HK" w:eastAsia="zh-TW"/>
        </w:rPr>
        <w:t>于</w:t>
      </w:r>
      <w:proofErr w:type="gramEnd"/>
      <w:r w:rsidR="009A3D07" w:rsidRPr="003A699D">
        <w:rPr>
          <w:rFonts w:ascii="宋体" w:eastAsia="宋体" w:hAnsi="宋体" w:cs="Arial" w:hint="eastAsia"/>
          <w:sz w:val="23"/>
          <w:szCs w:val="23"/>
          <w:lang w:val="en-HK" w:eastAsia="zh-TW"/>
        </w:rPr>
        <w:t>頂部區域，但由</w:t>
      </w:r>
      <w:proofErr w:type="gramStart"/>
      <w:r w:rsidR="009A3D07" w:rsidRPr="003A699D">
        <w:rPr>
          <w:rFonts w:ascii="宋体" w:eastAsia="宋体" w:hAnsi="宋体" w:cs="Arial" w:hint="eastAsia"/>
          <w:sz w:val="23"/>
          <w:szCs w:val="23"/>
          <w:lang w:val="en-HK" w:eastAsia="zh-TW"/>
        </w:rPr>
        <w:t>于</w:t>
      </w:r>
      <w:proofErr w:type="gramEnd"/>
      <w:r w:rsidR="009A3D07" w:rsidRPr="003A699D">
        <w:rPr>
          <w:rFonts w:ascii="宋体" w:eastAsia="宋体" w:hAnsi="宋体" w:cs="Arial" w:hint="eastAsia"/>
          <w:sz w:val="23"/>
          <w:szCs w:val="23"/>
          <w:lang w:val="en-HK" w:eastAsia="zh-TW"/>
        </w:rPr>
        <w:t>通脹和就業仍具韌性，</w:t>
      </w:r>
      <w:proofErr w:type="gramStart"/>
      <w:r w:rsidR="009A3D07" w:rsidRPr="003A699D">
        <w:rPr>
          <w:rFonts w:ascii="宋体" w:eastAsia="宋体" w:hAnsi="宋体" w:cs="Arial" w:hint="eastAsia"/>
          <w:sz w:val="23"/>
          <w:szCs w:val="23"/>
          <w:lang w:val="en-HK" w:eastAsia="zh-TW"/>
        </w:rPr>
        <w:t>美國此輪加</w:t>
      </w:r>
      <w:proofErr w:type="gramEnd"/>
      <w:r w:rsidR="009A3D07" w:rsidRPr="003A699D">
        <w:rPr>
          <w:rFonts w:ascii="宋体" w:eastAsia="宋体" w:hAnsi="宋体" w:cs="Arial" w:hint="eastAsia"/>
          <w:sz w:val="23"/>
          <w:szCs w:val="23"/>
          <w:lang w:val="en-HK" w:eastAsia="zh-TW"/>
        </w:rPr>
        <w:t>息周期或在高位持續更久。隨著貨幣緊縮的即期和</w:t>
      </w:r>
      <w:proofErr w:type="gramStart"/>
      <w:r w:rsidR="009A3D07" w:rsidRPr="003A699D">
        <w:rPr>
          <w:rFonts w:ascii="宋体" w:eastAsia="宋体" w:hAnsi="宋体" w:cs="Arial" w:hint="eastAsia"/>
          <w:sz w:val="23"/>
          <w:szCs w:val="23"/>
          <w:lang w:val="en-HK" w:eastAsia="zh-TW"/>
        </w:rPr>
        <w:t>滯後</w:t>
      </w:r>
      <w:proofErr w:type="gramEnd"/>
      <w:r w:rsidR="009A3D07" w:rsidRPr="003A699D">
        <w:rPr>
          <w:rFonts w:ascii="宋体" w:eastAsia="宋体" w:hAnsi="宋体" w:cs="Arial" w:hint="eastAsia"/>
          <w:sz w:val="23"/>
          <w:szCs w:val="23"/>
          <w:lang w:val="en-HK" w:eastAsia="zh-TW"/>
        </w:rPr>
        <w:t>效應逐步顯現，美國經濟增長動能仍趨</w:t>
      </w:r>
      <w:proofErr w:type="gramStart"/>
      <w:r w:rsidR="009A3D07" w:rsidRPr="003A699D">
        <w:rPr>
          <w:rFonts w:ascii="宋体" w:eastAsia="宋体" w:hAnsi="宋体" w:cs="Arial" w:hint="eastAsia"/>
          <w:sz w:val="23"/>
          <w:szCs w:val="23"/>
          <w:lang w:val="en-HK" w:eastAsia="zh-TW"/>
        </w:rPr>
        <w:t>于</w:t>
      </w:r>
      <w:proofErr w:type="gramEnd"/>
      <w:r w:rsidR="009A3D07" w:rsidRPr="003A699D">
        <w:rPr>
          <w:rFonts w:ascii="宋体" w:eastAsia="宋体" w:hAnsi="宋体" w:cs="Arial" w:hint="eastAsia"/>
          <w:sz w:val="23"/>
          <w:szCs w:val="23"/>
          <w:lang w:val="en-HK" w:eastAsia="zh-TW"/>
        </w:rPr>
        <w:t>回落。</w:t>
      </w:r>
      <w:r w:rsidRPr="00D80A76">
        <w:rPr>
          <w:rFonts w:ascii="Arial" w:eastAsia="宋体" w:hAnsi="Arial" w:cs="Arial" w:hint="eastAsia"/>
          <w:sz w:val="23"/>
          <w:szCs w:val="23"/>
          <w:lang w:val="en-HK" w:eastAsia="zh-TW"/>
        </w:rPr>
        <w:t>國內方面，復蘇與轉型將交織成為下半年經濟的主線，政策</w:t>
      </w:r>
      <w:proofErr w:type="gramStart"/>
      <w:r w:rsidRPr="00D80A76">
        <w:rPr>
          <w:rFonts w:ascii="Arial" w:eastAsia="宋体" w:hAnsi="Arial" w:cs="Arial" w:hint="eastAsia"/>
          <w:sz w:val="23"/>
          <w:szCs w:val="23"/>
          <w:lang w:val="en-HK" w:eastAsia="zh-TW"/>
        </w:rPr>
        <w:t>托舉下</w:t>
      </w:r>
      <w:proofErr w:type="gramEnd"/>
      <w:r w:rsidRPr="00D80A76">
        <w:rPr>
          <w:rFonts w:ascii="Arial" w:eastAsia="宋体" w:hAnsi="Arial" w:cs="Arial" w:hint="eastAsia"/>
          <w:sz w:val="23"/>
          <w:szCs w:val="23"/>
          <w:lang w:val="en-HK" w:eastAsia="zh-TW"/>
        </w:rPr>
        <w:t>增長動能有望邊際增強，預計全年</w:t>
      </w:r>
      <w:r w:rsidRPr="00D80A76">
        <w:rPr>
          <w:rFonts w:ascii="Arial" w:eastAsia="宋体" w:hAnsi="Arial" w:cs="Arial"/>
          <w:sz w:val="23"/>
          <w:szCs w:val="23"/>
          <w:lang w:val="en-HK" w:eastAsia="zh-TW"/>
        </w:rPr>
        <w:t>GDP</w:t>
      </w:r>
      <w:r w:rsidRPr="00D80A76">
        <w:rPr>
          <w:rFonts w:ascii="Arial" w:eastAsia="宋体" w:hAnsi="Arial" w:cs="Arial" w:hint="eastAsia"/>
          <w:sz w:val="23"/>
          <w:szCs w:val="23"/>
          <w:lang w:val="en-HK" w:eastAsia="zh-TW"/>
        </w:rPr>
        <w:t>增速將實現</w:t>
      </w:r>
      <w:r w:rsidRPr="00D80A76">
        <w:rPr>
          <w:rFonts w:ascii="Arial" w:eastAsia="宋体" w:hAnsi="Arial" w:cs="Arial"/>
          <w:sz w:val="23"/>
          <w:szCs w:val="23"/>
          <w:lang w:val="en-HK" w:eastAsia="zh-TW"/>
        </w:rPr>
        <w:t>5%</w:t>
      </w:r>
      <w:r w:rsidRPr="00D80A76">
        <w:rPr>
          <w:rFonts w:ascii="Arial" w:eastAsia="宋体" w:hAnsi="Arial" w:cs="Arial" w:hint="eastAsia"/>
          <w:sz w:val="23"/>
          <w:szCs w:val="23"/>
          <w:lang w:val="en-HK" w:eastAsia="zh-TW"/>
        </w:rPr>
        <w:t>的增長目標。當前科技作為第一生產力的驅動作用將更加凸顯，經濟增長動力加速切換，客戶資產負債</w:t>
      </w:r>
      <w:proofErr w:type="gramStart"/>
      <w:r w:rsidRPr="00D80A76">
        <w:rPr>
          <w:rFonts w:ascii="Arial" w:eastAsia="宋体" w:hAnsi="Arial" w:cs="Arial" w:hint="eastAsia"/>
          <w:sz w:val="23"/>
          <w:szCs w:val="23"/>
          <w:lang w:val="en-HK" w:eastAsia="zh-TW"/>
        </w:rPr>
        <w:t>表從</w:t>
      </w:r>
      <w:r w:rsidRPr="00BF0247">
        <w:rPr>
          <w:rFonts w:ascii="Arial" w:eastAsia="宋体" w:hAnsi="Arial" w:cs="Arial"/>
          <w:sz w:val="23"/>
          <w:szCs w:val="23"/>
          <w:lang w:eastAsia="zh-TW"/>
        </w:rPr>
        <w:t>「</w:t>
      </w:r>
      <w:r w:rsidRPr="00D80A76">
        <w:rPr>
          <w:rFonts w:ascii="Arial" w:eastAsia="宋体" w:hAnsi="Arial" w:cs="Arial" w:hint="eastAsia"/>
          <w:sz w:val="23"/>
          <w:szCs w:val="23"/>
          <w:lang w:val="en-HK" w:eastAsia="zh-TW"/>
        </w:rPr>
        <w:t>擴表</w:t>
      </w:r>
      <w:proofErr w:type="gramEnd"/>
      <w:r w:rsidRPr="00B709AD">
        <w:rPr>
          <w:rFonts w:ascii="Arial" w:eastAsia="宋体" w:hAnsi="Arial" w:cs="Arial"/>
          <w:kern w:val="2"/>
          <w:sz w:val="23"/>
          <w:szCs w:val="23"/>
          <w:lang w:val="en-US" w:eastAsia="zh-TW"/>
        </w:rPr>
        <w:t>」</w:t>
      </w:r>
      <w:r w:rsidRPr="00D80A76">
        <w:rPr>
          <w:rFonts w:ascii="Arial" w:eastAsia="宋体" w:hAnsi="Arial" w:cs="Arial" w:hint="eastAsia"/>
          <w:sz w:val="23"/>
          <w:szCs w:val="23"/>
          <w:lang w:val="en-HK" w:eastAsia="zh-TW"/>
        </w:rPr>
        <w:t>轉向</w:t>
      </w:r>
      <w:r w:rsidRPr="00BF0247">
        <w:rPr>
          <w:rFonts w:ascii="Arial" w:eastAsia="宋体" w:hAnsi="Arial" w:cs="Arial"/>
          <w:sz w:val="23"/>
          <w:szCs w:val="23"/>
          <w:lang w:eastAsia="zh-TW"/>
        </w:rPr>
        <w:t>「</w:t>
      </w:r>
      <w:proofErr w:type="gramStart"/>
      <w:r w:rsidRPr="00D80A76">
        <w:rPr>
          <w:rFonts w:ascii="Arial" w:eastAsia="宋体" w:hAnsi="Arial" w:cs="Arial" w:hint="eastAsia"/>
          <w:sz w:val="23"/>
          <w:szCs w:val="23"/>
          <w:lang w:val="en-HK" w:eastAsia="zh-TW"/>
        </w:rPr>
        <w:t>調表</w:t>
      </w:r>
      <w:proofErr w:type="gramEnd"/>
      <w:r w:rsidRPr="00B709AD">
        <w:rPr>
          <w:rFonts w:ascii="Arial" w:eastAsia="宋体" w:hAnsi="Arial" w:cs="Arial"/>
          <w:kern w:val="2"/>
          <w:sz w:val="23"/>
          <w:szCs w:val="23"/>
          <w:lang w:val="en-US" w:eastAsia="zh-TW"/>
        </w:rPr>
        <w:t>」</w:t>
      </w:r>
      <w:r w:rsidRPr="00D80A76">
        <w:rPr>
          <w:rFonts w:ascii="Arial" w:eastAsia="宋体" w:hAnsi="Arial" w:cs="Arial" w:hint="eastAsia"/>
          <w:sz w:val="23"/>
          <w:szCs w:val="23"/>
          <w:lang w:val="en-HK" w:eastAsia="zh-TW"/>
        </w:rPr>
        <w:t>，風險環境日趨複雜。這些趨勢性變化正在深刻影響銀行業的發展，既帶來新的重大挑戰，也帶來新的重大機遇，堅定了本公司推進價值銀行戰略，塑造差異化競爭新優勢，打造馬利克增長曲線的決心。</w:t>
      </w:r>
    </w:p>
    <w:p w14:paraId="72CAFBFA" w14:textId="77777777" w:rsidR="00AB35A9" w:rsidRPr="00AB35A9" w:rsidRDefault="00AB35A9" w:rsidP="00CF4670">
      <w:pPr>
        <w:widowControl w:val="0"/>
        <w:spacing w:after="0" w:line="240" w:lineRule="auto"/>
        <w:jc w:val="both"/>
        <w:rPr>
          <w:rFonts w:ascii="Arial" w:eastAsia="宋体" w:hAnsi="Arial" w:cs="Arial"/>
          <w:sz w:val="23"/>
          <w:szCs w:val="23"/>
          <w:lang w:val="en-HK" w:eastAsia="zh-TW"/>
        </w:rPr>
      </w:pPr>
    </w:p>
    <w:p w14:paraId="7E08B769" w14:textId="0F017EEC" w:rsidR="00061E17" w:rsidRPr="005D2EAE" w:rsidRDefault="00D80A76">
      <w:pPr>
        <w:widowControl w:val="0"/>
        <w:spacing w:after="0" w:line="240" w:lineRule="auto"/>
        <w:jc w:val="both"/>
        <w:rPr>
          <w:rFonts w:ascii="Arial" w:eastAsia="宋体" w:hAnsi="Arial" w:cs="Arial"/>
          <w:sz w:val="23"/>
          <w:szCs w:val="23"/>
          <w:lang w:val="en-HK" w:eastAsia="zh-TW"/>
        </w:rPr>
      </w:pPr>
      <w:r w:rsidRPr="001A5688">
        <w:rPr>
          <w:rFonts w:ascii="Arial" w:eastAsia="宋体" w:hAnsi="Arial" w:cs="Arial" w:hint="eastAsia"/>
          <w:sz w:val="23"/>
          <w:szCs w:val="23"/>
          <w:lang w:val="en-HK" w:eastAsia="zh-TW"/>
        </w:rPr>
        <w:t>本公司下半年的具體經營策略為：一是推動四大板塊形成既特色鮮明又均衡協同發展的業務格局。二是加快推進財富管理轉型。三是加強資產組織能力建設。四是全面推進</w:t>
      </w:r>
      <w:proofErr w:type="gramStart"/>
      <w:r w:rsidRPr="001A5688">
        <w:rPr>
          <w:rFonts w:ascii="Arial" w:eastAsia="宋体" w:hAnsi="Arial" w:cs="Arial" w:hint="eastAsia"/>
          <w:sz w:val="23"/>
          <w:szCs w:val="23"/>
          <w:lang w:val="en-HK" w:eastAsia="zh-TW"/>
        </w:rPr>
        <w:t>數字招行建設</w:t>
      </w:r>
      <w:proofErr w:type="gramEnd"/>
      <w:r w:rsidRPr="001A5688">
        <w:rPr>
          <w:rFonts w:ascii="Arial" w:eastAsia="宋体" w:hAnsi="Arial" w:cs="Arial" w:hint="eastAsia"/>
          <w:sz w:val="23"/>
          <w:szCs w:val="23"/>
          <w:lang w:val="en-HK" w:eastAsia="zh-TW"/>
        </w:rPr>
        <w:t>。五是持續打造堡壘式全面風險與合</w:t>
      </w:r>
      <w:proofErr w:type="gramStart"/>
      <w:r w:rsidRPr="001A5688">
        <w:rPr>
          <w:rFonts w:ascii="Arial" w:eastAsia="宋体" w:hAnsi="Arial" w:cs="Arial" w:hint="eastAsia"/>
          <w:sz w:val="23"/>
          <w:szCs w:val="23"/>
          <w:lang w:val="en-HK" w:eastAsia="zh-TW"/>
        </w:rPr>
        <w:t>規</w:t>
      </w:r>
      <w:proofErr w:type="gramEnd"/>
      <w:r w:rsidRPr="001A5688">
        <w:rPr>
          <w:rFonts w:ascii="Arial" w:eastAsia="宋体" w:hAnsi="Arial" w:cs="Arial" w:hint="eastAsia"/>
          <w:sz w:val="23"/>
          <w:szCs w:val="23"/>
          <w:lang w:val="en-HK" w:eastAsia="zh-TW"/>
        </w:rPr>
        <w:t>管理體系。六是深入落實重點區域發展戰略。七是建設與價值銀行相匹配的管理體系。</w:t>
      </w:r>
    </w:p>
    <w:p w14:paraId="2F7135A0" w14:textId="77777777" w:rsidR="00061E17" w:rsidRPr="001A5688" w:rsidRDefault="00061E17">
      <w:pPr>
        <w:widowControl w:val="0"/>
        <w:spacing w:after="0" w:line="240" w:lineRule="auto"/>
        <w:jc w:val="both"/>
        <w:rPr>
          <w:rFonts w:ascii="Arial" w:eastAsia="宋体" w:hAnsi="Arial" w:cs="Arial"/>
          <w:kern w:val="2"/>
          <w:sz w:val="23"/>
          <w:szCs w:val="23"/>
          <w:lang w:val="en-US" w:eastAsia="zh-TW"/>
        </w:rPr>
      </w:pPr>
    </w:p>
    <w:p w14:paraId="252305FB" w14:textId="476EE91E" w:rsidR="00061E17" w:rsidRPr="001A5688" w:rsidRDefault="007C101A">
      <w:pPr>
        <w:widowControl w:val="0"/>
        <w:tabs>
          <w:tab w:val="left" w:pos="3640"/>
          <w:tab w:val="left" w:pos="4289"/>
          <w:tab w:val="center" w:pos="4936"/>
        </w:tabs>
        <w:spacing w:after="0" w:line="240" w:lineRule="auto"/>
        <w:ind w:firstLineChars="200" w:firstLine="460"/>
        <w:rPr>
          <w:rFonts w:ascii="Arial" w:eastAsia="宋体" w:hAnsi="Arial" w:cs="Arial"/>
          <w:kern w:val="2"/>
          <w:sz w:val="23"/>
          <w:szCs w:val="23"/>
          <w:lang w:val="en-US" w:eastAsia="zh-TW"/>
        </w:rPr>
      </w:pPr>
      <w:r w:rsidRPr="001A5688">
        <w:rPr>
          <w:rFonts w:ascii="Arial" w:eastAsia="宋体" w:hAnsi="Arial" w:cs="Arial"/>
          <w:kern w:val="2"/>
          <w:sz w:val="23"/>
          <w:szCs w:val="23"/>
          <w:lang w:val="en-US" w:eastAsia="zh-TW"/>
        </w:rPr>
        <w:tab/>
      </w:r>
      <w:r w:rsidRPr="001A5688">
        <w:rPr>
          <w:rFonts w:ascii="Arial" w:eastAsia="宋体" w:hAnsi="Arial" w:cs="Arial"/>
          <w:kern w:val="2"/>
          <w:sz w:val="23"/>
          <w:szCs w:val="23"/>
          <w:lang w:val="en-US" w:eastAsia="zh-TW"/>
        </w:rPr>
        <w:tab/>
      </w:r>
      <w:r w:rsidRPr="001A5688">
        <w:rPr>
          <w:rFonts w:ascii="Arial" w:eastAsia="宋体" w:hAnsi="Arial" w:cs="Arial"/>
          <w:kern w:val="2"/>
          <w:sz w:val="23"/>
          <w:szCs w:val="23"/>
          <w:lang w:val="en-US" w:eastAsia="zh-TW"/>
        </w:rPr>
        <w:t>（</w:t>
      </w:r>
      <w:r w:rsidR="001A5688" w:rsidRPr="001A5688">
        <w:rPr>
          <w:rFonts w:ascii="Arial" w:eastAsia="宋体" w:hAnsi="Arial" w:cs="Arial" w:hint="eastAsia"/>
          <w:kern w:val="2"/>
          <w:sz w:val="23"/>
          <w:szCs w:val="23"/>
          <w:lang w:val="en-US" w:eastAsia="zh-TW"/>
        </w:rPr>
        <w:t>完</w:t>
      </w:r>
      <w:r w:rsidRPr="001A5688">
        <w:rPr>
          <w:rFonts w:ascii="Arial" w:eastAsia="宋体" w:hAnsi="Arial" w:cs="Arial"/>
          <w:kern w:val="2"/>
          <w:sz w:val="23"/>
          <w:szCs w:val="23"/>
          <w:lang w:val="en-US" w:eastAsia="zh-TW"/>
        </w:rPr>
        <w:t>）</w:t>
      </w:r>
    </w:p>
    <w:p w14:paraId="4BA93344" w14:textId="77777777" w:rsidR="00061E17" w:rsidRPr="001A5688" w:rsidRDefault="00061E17">
      <w:pPr>
        <w:spacing w:after="0" w:line="320" w:lineRule="exact"/>
        <w:jc w:val="both"/>
        <w:rPr>
          <w:rFonts w:ascii="Arial" w:eastAsia="宋体" w:hAnsi="Arial" w:cs="Arial"/>
          <w:b/>
          <w:color w:val="000000"/>
          <w:kern w:val="2"/>
          <w:sz w:val="23"/>
          <w:szCs w:val="23"/>
          <w:lang w:val="en-US" w:eastAsia="zh-TW"/>
        </w:rPr>
      </w:pPr>
    </w:p>
    <w:p w14:paraId="3520A3AD" w14:textId="04F20562" w:rsidR="00061E17" w:rsidRPr="001A5688" w:rsidRDefault="001A5688">
      <w:pPr>
        <w:spacing w:after="0" w:line="320" w:lineRule="exact"/>
        <w:jc w:val="both"/>
        <w:rPr>
          <w:rFonts w:ascii="Arial" w:eastAsia="宋体" w:hAnsi="Arial" w:cs="Arial"/>
          <w:b/>
          <w:color w:val="000000"/>
          <w:kern w:val="2"/>
          <w:sz w:val="23"/>
          <w:szCs w:val="23"/>
          <w:lang w:val="en-US" w:eastAsia="zh-TW"/>
        </w:rPr>
      </w:pPr>
      <w:r w:rsidRPr="005D2EAE">
        <w:rPr>
          <w:rFonts w:ascii="Arial" w:eastAsia="宋体" w:hAnsi="Arial" w:cs="Arial" w:hint="eastAsia"/>
          <w:b/>
          <w:color w:val="000000"/>
          <w:kern w:val="2"/>
          <w:sz w:val="23"/>
          <w:szCs w:val="23"/>
          <w:lang w:val="en-US" w:eastAsia="zh-TW"/>
        </w:rPr>
        <w:t>投資者查詢</w:t>
      </w:r>
    </w:p>
    <w:p w14:paraId="4033F3DF" w14:textId="4C51CCF9" w:rsidR="00061E17" w:rsidRPr="001A5688" w:rsidRDefault="001A5688">
      <w:pPr>
        <w:spacing w:after="0" w:line="320" w:lineRule="exact"/>
        <w:jc w:val="both"/>
        <w:rPr>
          <w:rFonts w:ascii="Arial" w:eastAsia="宋体" w:hAnsi="Arial" w:cs="Arial"/>
          <w:color w:val="000000"/>
          <w:kern w:val="2"/>
          <w:sz w:val="23"/>
          <w:szCs w:val="23"/>
          <w:lang w:val="en-US" w:eastAsia="zh-TW"/>
        </w:rPr>
      </w:pPr>
      <w:r w:rsidRPr="005D2EAE">
        <w:rPr>
          <w:rFonts w:ascii="Arial" w:eastAsia="宋体" w:hAnsi="Arial" w:cs="Arial" w:hint="eastAsia"/>
          <w:color w:val="000000"/>
          <w:kern w:val="2"/>
          <w:sz w:val="23"/>
          <w:szCs w:val="23"/>
          <w:lang w:val="en-US" w:eastAsia="zh-TW"/>
        </w:rPr>
        <w:t>招商銀行董事會辦公室</w:t>
      </w:r>
      <w:r w:rsidRPr="005D2EAE">
        <w:rPr>
          <w:rFonts w:ascii="Arial" w:eastAsia="宋体" w:hAnsi="Arial" w:cs="Arial"/>
          <w:color w:val="000000"/>
          <w:kern w:val="2"/>
          <w:sz w:val="23"/>
          <w:szCs w:val="23"/>
          <w:lang w:val="en-US" w:eastAsia="zh-TW"/>
        </w:rPr>
        <w:t xml:space="preserve"> </w:t>
      </w:r>
      <w:r w:rsidRPr="005D2EAE">
        <w:rPr>
          <w:rFonts w:ascii="Arial" w:eastAsia="宋体" w:hAnsi="Arial" w:cs="Arial" w:hint="eastAsia"/>
          <w:color w:val="000000"/>
          <w:kern w:val="2"/>
          <w:sz w:val="23"/>
          <w:szCs w:val="23"/>
          <w:lang w:val="en-US" w:eastAsia="zh-TW"/>
        </w:rPr>
        <w:t>投資者關係管理團隊</w:t>
      </w:r>
    </w:p>
    <w:p w14:paraId="241F8B8E" w14:textId="48A8547E" w:rsidR="00061E17" w:rsidRPr="001A5688" w:rsidRDefault="001A5688">
      <w:pPr>
        <w:spacing w:after="0" w:line="320" w:lineRule="exact"/>
        <w:jc w:val="both"/>
        <w:rPr>
          <w:rFonts w:ascii="Arial" w:eastAsia="宋体" w:hAnsi="Arial" w:cs="Arial"/>
          <w:color w:val="000000"/>
          <w:kern w:val="2"/>
          <w:sz w:val="23"/>
          <w:szCs w:val="23"/>
          <w:lang w:val="en-US" w:eastAsia="zh-TW"/>
        </w:rPr>
      </w:pPr>
      <w:r w:rsidRPr="005D2EAE">
        <w:rPr>
          <w:rFonts w:ascii="Arial" w:eastAsia="宋体" w:hAnsi="Arial" w:cs="Arial" w:hint="eastAsia"/>
          <w:color w:val="000000"/>
          <w:kern w:val="2"/>
          <w:sz w:val="23"/>
          <w:szCs w:val="23"/>
          <w:lang w:val="en-US" w:eastAsia="zh-TW"/>
        </w:rPr>
        <w:t>電話：（</w:t>
      </w:r>
      <w:r w:rsidRPr="005D2EAE">
        <w:rPr>
          <w:rFonts w:ascii="Arial" w:eastAsia="宋体" w:hAnsi="Arial" w:cs="Arial"/>
          <w:color w:val="000000"/>
          <w:kern w:val="2"/>
          <w:sz w:val="23"/>
          <w:szCs w:val="23"/>
          <w:lang w:val="en-US" w:eastAsia="zh-TW"/>
        </w:rPr>
        <w:t>86</w:t>
      </w:r>
      <w:r w:rsidRPr="005D2EAE">
        <w:rPr>
          <w:rFonts w:ascii="Arial" w:eastAsia="宋体" w:hAnsi="Arial" w:cs="Arial" w:hint="eastAsia"/>
          <w:color w:val="000000"/>
          <w:kern w:val="2"/>
          <w:sz w:val="23"/>
          <w:szCs w:val="23"/>
          <w:lang w:val="en-US" w:eastAsia="zh-TW"/>
        </w:rPr>
        <w:t>）</w:t>
      </w:r>
      <w:r w:rsidRPr="005D2EAE">
        <w:rPr>
          <w:rFonts w:ascii="Arial" w:eastAsia="宋体" w:hAnsi="Arial" w:cs="Arial"/>
          <w:color w:val="000000"/>
          <w:kern w:val="2"/>
          <w:sz w:val="23"/>
          <w:szCs w:val="23"/>
          <w:lang w:val="en-US" w:eastAsia="zh-TW"/>
        </w:rPr>
        <w:t>755 2269 9082</w:t>
      </w:r>
    </w:p>
    <w:p w14:paraId="69397C62" w14:textId="6187EC6D" w:rsidR="00061E17" w:rsidRPr="001A5688" w:rsidRDefault="001A5688">
      <w:pPr>
        <w:spacing w:after="0" w:line="320" w:lineRule="exact"/>
        <w:jc w:val="both"/>
        <w:rPr>
          <w:rFonts w:ascii="Arial" w:eastAsia="宋体" w:hAnsi="Arial" w:cs="Arial"/>
          <w:color w:val="000000"/>
          <w:kern w:val="2"/>
          <w:sz w:val="23"/>
          <w:szCs w:val="23"/>
          <w:lang w:val="en-US" w:eastAsia="zh-TW"/>
        </w:rPr>
      </w:pPr>
      <w:r w:rsidRPr="005D2EAE">
        <w:rPr>
          <w:rFonts w:ascii="Arial" w:eastAsia="宋体" w:hAnsi="Arial" w:cs="Arial" w:hint="eastAsia"/>
          <w:color w:val="000000"/>
          <w:kern w:val="2"/>
          <w:sz w:val="23"/>
          <w:szCs w:val="23"/>
          <w:lang w:val="en-US" w:eastAsia="zh-TW"/>
        </w:rPr>
        <w:t>傳真：（</w:t>
      </w:r>
      <w:r w:rsidRPr="005D2EAE">
        <w:rPr>
          <w:rFonts w:ascii="Arial" w:eastAsia="宋体" w:hAnsi="Arial" w:cs="Arial"/>
          <w:color w:val="000000"/>
          <w:kern w:val="2"/>
          <w:sz w:val="23"/>
          <w:szCs w:val="23"/>
          <w:lang w:val="en-US" w:eastAsia="zh-TW"/>
        </w:rPr>
        <w:t>86</w:t>
      </w:r>
      <w:r w:rsidRPr="005D2EAE">
        <w:rPr>
          <w:rFonts w:ascii="Arial" w:eastAsia="宋体" w:hAnsi="Arial" w:cs="Arial" w:hint="eastAsia"/>
          <w:color w:val="000000"/>
          <w:kern w:val="2"/>
          <w:sz w:val="23"/>
          <w:szCs w:val="23"/>
          <w:lang w:val="en-US" w:eastAsia="zh-TW"/>
        </w:rPr>
        <w:t>）</w:t>
      </w:r>
      <w:r w:rsidRPr="005D2EAE">
        <w:rPr>
          <w:rFonts w:ascii="Arial" w:eastAsia="宋体" w:hAnsi="Arial" w:cs="Arial"/>
          <w:color w:val="000000"/>
          <w:kern w:val="2"/>
          <w:sz w:val="23"/>
          <w:szCs w:val="23"/>
          <w:lang w:val="en-US" w:eastAsia="zh-TW"/>
        </w:rPr>
        <w:t>755 8319 5109</w:t>
      </w:r>
    </w:p>
    <w:p w14:paraId="5D65A579" w14:textId="64FCE50B" w:rsidR="00061E17" w:rsidRPr="001A5688" w:rsidRDefault="001A5688">
      <w:pPr>
        <w:spacing w:after="0" w:line="320" w:lineRule="exact"/>
        <w:jc w:val="both"/>
        <w:rPr>
          <w:rFonts w:ascii="Arial" w:eastAsia="宋体" w:hAnsi="Arial" w:cs="Arial"/>
          <w:color w:val="000000"/>
          <w:kern w:val="2"/>
          <w:sz w:val="23"/>
          <w:szCs w:val="23"/>
          <w:lang w:val="en-US"/>
        </w:rPr>
      </w:pPr>
      <w:r w:rsidRPr="005D2EAE">
        <w:rPr>
          <w:rFonts w:ascii="Arial" w:eastAsia="宋体" w:hAnsi="Arial" w:cs="Arial" w:hint="eastAsia"/>
          <w:color w:val="000000"/>
          <w:kern w:val="2"/>
          <w:sz w:val="23"/>
          <w:szCs w:val="23"/>
          <w:lang w:val="en-US" w:eastAsia="zh-TW"/>
        </w:rPr>
        <w:t>電郵：</w:t>
      </w:r>
      <w:r w:rsidRPr="005D2EAE">
        <w:rPr>
          <w:rFonts w:ascii="Arial" w:eastAsia="宋体" w:hAnsi="Arial" w:cs="Arial"/>
          <w:color w:val="000000"/>
          <w:sz w:val="23"/>
          <w:szCs w:val="23"/>
          <w:lang w:val="en-US" w:eastAsia="zh-TW"/>
        </w:rPr>
        <w:t>IR@cmbchina.com</w:t>
      </w:r>
    </w:p>
    <w:p w14:paraId="1F8A060D" w14:textId="77777777" w:rsidR="00061E17" w:rsidRPr="001A5688" w:rsidRDefault="00061E17">
      <w:pPr>
        <w:spacing w:after="0" w:line="320" w:lineRule="exact"/>
        <w:jc w:val="both"/>
        <w:rPr>
          <w:rFonts w:ascii="Arial" w:eastAsia="宋体" w:hAnsi="Arial" w:cs="Arial"/>
          <w:color w:val="000000"/>
          <w:kern w:val="2"/>
          <w:sz w:val="23"/>
          <w:szCs w:val="23"/>
          <w:lang w:val="en-US"/>
        </w:rPr>
      </w:pPr>
    </w:p>
    <w:p w14:paraId="0D16D434" w14:textId="54EBCEF5" w:rsidR="00061E17" w:rsidRPr="001A5688" w:rsidRDefault="001A5688">
      <w:pPr>
        <w:spacing w:after="0" w:line="320" w:lineRule="exact"/>
        <w:jc w:val="both"/>
        <w:rPr>
          <w:rFonts w:ascii="Arial" w:eastAsia="宋体" w:hAnsi="Arial" w:cs="Arial"/>
          <w:color w:val="000000"/>
          <w:kern w:val="2"/>
          <w:sz w:val="23"/>
          <w:szCs w:val="23"/>
          <w:lang w:val="en-US" w:eastAsia="zh-TW"/>
        </w:rPr>
      </w:pPr>
      <w:r w:rsidRPr="001A5688">
        <w:rPr>
          <w:rFonts w:ascii="Arial" w:eastAsia="宋体" w:hAnsi="Arial" w:cs="Arial" w:hint="eastAsia"/>
          <w:b/>
          <w:color w:val="000000"/>
          <w:kern w:val="2"/>
          <w:sz w:val="23"/>
          <w:szCs w:val="23"/>
          <w:lang w:val="en-US" w:eastAsia="zh-TW"/>
        </w:rPr>
        <w:t>媒體查詢</w:t>
      </w:r>
    </w:p>
    <w:p w14:paraId="3FD77A33" w14:textId="756F5F6C" w:rsidR="00061E17" w:rsidRPr="001A5688" w:rsidRDefault="001A5688">
      <w:pPr>
        <w:widowControl w:val="0"/>
        <w:spacing w:after="0" w:line="320" w:lineRule="exact"/>
        <w:jc w:val="both"/>
        <w:rPr>
          <w:rFonts w:ascii="Arial" w:eastAsia="宋体" w:hAnsi="Arial" w:cs="Arial"/>
          <w:color w:val="000000"/>
          <w:kern w:val="2"/>
          <w:sz w:val="23"/>
          <w:szCs w:val="23"/>
          <w:lang w:val="en-US" w:eastAsia="zh-TW"/>
        </w:rPr>
      </w:pPr>
      <w:r w:rsidRPr="001A5688">
        <w:rPr>
          <w:rFonts w:ascii="Arial" w:eastAsia="宋体" w:hAnsi="Arial" w:cs="Arial" w:hint="eastAsia"/>
          <w:color w:val="000000"/>
          <w:kern w:val="2"/>
          <w:sz w:val="23"/>
          <w:szCs w:val="23"/>
          <w:lang w:val="en-US" w:eastAsia="zh-TW"/>
        </w:rPr>
        <w:t>王明月</w:t>
      </w:r>
    </w:p>
    <w:p w14:paraId="4877CFEB" w14:textId="4CACAAF2" w:rsidR="00061E17" w:rsidRPr="001A5688" w:rsidRDefault="001A5688">
      <w:pPr>
        <w:widowControl w:val="0"/>
        <w:spacing w:after="0" w:line="320" w:lineRule="exact"/>
        <w:jc w:val="both"/>
        <w:rPr>
          <w:rFonts w:ascii="Arial" w:eastAsia="宋体" w:hAnsi="Arial" w:cs="Arial"/>
          <w:color w:val="000000"/>
          <w:kern w:val="2"/>
          <w:sz w:val="23"/>
          <w:szCs w:val="23"/>
          <w:lang w:val="en-US" w:eastAsia="zh-TW"/>
        </w:rPr>
      </w:pPr>
      <w:proofErr w:type="gramStart"/>
      <w:r w:rsidRPr="001A5688">
        <w:rPr>
          <w:rFonts w:ascii="Arial" w:eastAsia="宋体" w:hAnsi="Arial" w:cs="Arial" w:hint="eastAsia"/>
          <w:color w:val="000000"/>
          <w:kern w:val="2"/>
          <w:sz w:val="23"/>
          <w:szCs w:val="23"/>
          <w:lang w:val="en-US" w:eastAsia="zh-TW"/>
        </w:rPr>
        <w:t>匯思訊</w:t>
      </w:r>
      <w:proofErr w:type="gramEnd"/>
      <w:r w:rsidRPr="001A5688">
        <w:rPr>
          <w:rFonts w:ascii="Arial" w:eastAsia="宋体" w:hAnsi="Arial" w:cs="Arial" w:hint="eastAsia"/>
          <w:color w:val="000000"/>
          <w:kern w:val="2"/>
          <w:sz w:val="23"/>
          <w:szCs w:val="23"/>
          <w:lang w:val="en-US" w:eastAsia="zh-TW"/>
        </w:rPr>
        <w:t>中國有限公司</w:t>
      </w:r>
    </w:p>
    <w:p w14:paraId="37703899" w14:textId="40209470" w:rsidR="00061E17" w:rsidRPr="001A5688" w:rsidRDefault="001A5688">
      <w:pPr>
        <w:widowControl w:val="0"/>
        <w:spacing w:after="0" w:line="320" w:lineRule="exact"/>
        <w:jc w:val="both"/>
        <w:rPr>
          <w:rFonts w:ascii="Arial" w:eastAsia="宋体" w:hAnsi="Arial" w:cs="Arial"/>
          <w:color w:val="000000"/>
          <w:kern w:val="2"/>
          <w:sz w:val="23"/>
          <w:szCs w:val="23"/>
          <w:lang w:val="en-US" w:eastAsia="zh-TW"/>
        </w:rPr>
      </w:pPr>
      <w:r w:rsidRPr="001A5688">
        <w:rPr>
          <w:rFonts w:ascii="Arial" w:eastAsia="宋体" w:hAnsi="Arial" w:cs="Arial" w:hint="eastAsia"/>
          <w:color w:val="000000"/>
          <w:kern w:val="2"/>
          <w:sz w:val="23"/>
          <w:szCs w:val="23"/>
          <w:lang w:val="en-US" w:eastAsia="zh-TW"/>
        </w:rPr>
        <w:t>電話：（</w:t>
      </w:r>
      <w:r w:rsidRPr="001A5688">
        <w:rPr>
          <w:rFonts w:ascii="Arial" w:eastAsia="宋体" w:hAnsi="Arial" w:cs="Arial"/>
          <w:color w:val="000000"/>
          <w:kern w:val="2"/>
          <w:sz w:val="23"/>
          <w:szCs w:val="23"/>
          <w:lang w:val="en-US" w:eastAsia="zh-TW"/>
        </w:rPr>
        <w:t>852</w:t>
      </w:r>
      <w:r w:rsidRPr="001A5688">
        <w:rPr>
          <w:rFonts w:ascii="Arial" w:eastAsia="宋体" w:hAnsi="Arial" w:cs="Arial" w:hint="eastAsia"/>
          <w:color w:val="000000"/>
          <w:kern w:val="2"/>
          <w:sz w:val="23"/>
          <w:szCs w:val="23"/>
          <w:lang w:val="en-US" w:eastAsia="zh-TW"/>
        </w:rPr>
        <w:t>）</w:t>
      </w:r>
      <w:r w:rsidRPr="001A5688">
        <w:rPr>
          <w:rFonts w:ascii="Arial" w:eastAsia="宋体" w:hAnsi="Arial" w:cs="Arial"/>
          <w:color w:val="000000"/>
          <w:kern w:val="2"/>
          <w:sz w:val="23"/>
          <w:szCs w:val="23"/>
          <w:lang w:val="en-US" w:eastAsia="zh-TW"/>
        </w:rPr>
        <w:t>2232 3978</w:t>
      </w:r>
    </w:p>
    <w:p w14:paraId="67381155" w14:textId="1E8B2FA4" w:rsidR="00061E17" w:rsidRPr="001A5688" w:rsidRDefault="001A5688">
      <w:pPr>
        <w:widowControl w:val="0"/>
        <w:spacing w:after="0" w:line="320" w:lineRule="exact"/>
        <w:jc w:val="both"/>
        <w:rPr>
          <w:rFonts w:ascii="Arial" w:eastAsia="宋体" w:hAnsi="Arial" w:cs="Arial"/>
          <w:color w:val="000000"/>
          <w:kern w:val="2"/>
          <w:sz w:val="23"/>
          <w:szCs w:val="23"/>
          <w:lang w:val="en-US" w:eastAsia="zh-TW"/>
        </w:rPr>
      </w:pPr>
      <w:r w:rsidRPr="001A5688">
        <w:rPr>
          <w:rFonts w:ascii="Arial" w:eastAsia="宋体" w:hAnsi="Arial" w:cs="Arial" w:hint="eastAsia"/>
          <w:color w:val="000000"/>
          <w:kern w:val="2"/>
          <w:sz w:val="23"/>
          <w:szCs w:val="23"/>
          <w:lang w:val="en-US" w:eastAsia="zh-TW"/>
        </w:rPr>
        <w:t>傳真：（</w:t>
      </w:r>
      <w:r w:rsidRPr="001A5688">
        <w:rPr>
          <w:rFonts w:ascii="Arial" w:eastAsia="宋体" w:hAnsi="Arial" w:cs="Arial"/>
          <w:color w:val="000000"/>
          <w:kern w:val="2"/>
          <w:sz w:val="23"/>
          <w:szCs w:val="23"/>
          <w:lang w:val="en-US" w:eastAsia="zh-TW"/>
        </w:rPr>
        <w:t>852</w:t>
      </w:r>
      <w:r w:rsidRPr="001A5688">
        <w:rPr>
          <w:rFonts w:ascii="Arial" w:eastAsia="宋体" w:hAnsi="Arial" w:cs="Arial" w:hint="eastAsia"/>
          <w:color w:val="000000"/>
          <w:kern w:val="2"/>
          <w:sz w:val="23"/>
          <w:szCs w:val="23"/>
          <w:lang w:val="en-US" w:eastAsia="zh-TW"/>
        </w:rPr>
        <w:t>）</w:t>
      </w:r>
      <w:r w:rsidRPr="001A5688">
        <w:rPr>
          <w:rFonts w:ascii="Arial" w:eastAsia="宋体" w:hAnsi="Arial" w:cs="Arial"/>
          <w:color w:val="000000"/>
          <w:kern w:val="2"/>
          <w:sz w:val="23"/>
          <w:szCs w:val="23"/>
          <w:lang w:val="en-US" w:eastAsia="zh-TW"/>
        </w:rPr>
        <w:t>2117 0869</w:t>
      </w:r>
    </w:p>
    <w:p w14:paraId="61F63139" w14:textId="1A430E2B" w:rsidR="00061E17" w:rsidRPr="001A5688" w:rsidRDefault="001A5688" w:rsidP="00F92F42">
      <w:pPr>
        <w:spacing w:after="0" w:line="320" w:lineRule="exact"/>
        <w:jc w:val="both"/>
        <w:rPr>
          <w:rFonts w:ascii="Arial" w:eastAsia="宋体" w:hAnsi="Arial" w:cs="Arial"/>
          <w:sz w:val="23"/>
          <w:szCs w:val="23"/>
          <w:lang w:val="en-US" w:eastAsia="zh-TW"/>
        </w:rPr>
      </w:pPr>
      <w:r w:rsidRPr="001A5688">
        <w:rPr>
          <w:rFonts w:ascii="Arial" w:eastAsia="宋体" w:hAnsi="Arial" w:cs="Arial" w:hint="eastAsia"/>
          <w:color w:val="000000"/>
          <w:kern w:val="2"/>
          <w:sz w:val="23"/>
          <w:szCs w:val="23"/>
          <w:lang w:val="en-US" w:eastAsia="zh-TW"/>
        </w:rPr>
        <w:t>電郵：</w:t>
      </w:r>
      <w:r w:rsidRPr="001A5688">
        <w:rPr>
          <w:rFonts w:ascii="Arial" w:eastAsia="宋体" w:hAnsi="Arial" w:cs="Arial"/>
          <w:sz w:val="23"/>
          <w:szCs w:val="23"/>
          <w:lang w:val="en-US" w:eastAsia="zh-TW"/>
        </w:rPr>
        <w:t>vivian.wang@christensencomms.com</w:t>
      </w:r>
    </w:p>
    <w:sectPr w:rsidR="00061E17" w:rsidRPr="001A5688" w:rsidSect="003A699D">
      <w:headerReference w:type="default" r:id="rId9"/>
      <w:footerReference w:type="default" r:id="rId10"/>
      <w:pgSz w:w="11906" w:h="16838"/>
      <w:pgMar w:top="1418" w:right="1247" w:bottom="1304" w:left="1247" w:header="73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755DC" w14:textId="77777777" w:rsidR="00984501" w:rsidRDefault="00984501">
      <w:pPr>
        <w:spacing w:after="0" w:line="240" w:lineRule="auto"/>
      </w:pPr>
      <w:r>
        <w:separator/>
      </w:r>
    </w:p>
  </w:endnote>
  <w:endnote w:type="continuationSeparator" w:id="0">
    <w:p w14:paraId="384860A7" w14:textId="77777777" w:rsidR="00984501" w:rsidRDefault="0098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77AA" w14:textId="77777777" w:rsidR="00061E17" w:rsidRDefault="007C101A">
    <w:pPr>
      <w:pStyle w:val="a5"/>
      <w:jc w:val="center"/>
      <w:rPr>
        <w:rFonts w:ascii="Calibri" w:hAnsi="Calibri"/>
      </w:rPr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761D16" w:rsidRPr="00761D16">
      <w:rPr>
        <w:rFonts w:ascii="Calibri" w:eastAsia="PMingLiU" w:hAnsi="Calibri"/>
        <w:noProof/>
        <w:lang w:val="zh-HK" w:eastAsia="zh-TW"/>
      </w:rPr>
      <w:t>6</w:t>
    </w:r>
    <w:r>
      <w:rPr>
        <w:rFonts w:ascii="Calibri" w:hAnsi="Calibri"/>
      </w:rPr>
      <w:fldChar w:fldCharType="end"/>
    </w:r>
  </w:p>
  <w:p w14:paraId="16DDA228" w14:textId="77777777" w:rsidR="00061E17" w:rsidRDefault="00061E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32D6" w14:textId="77777777" w:rsidR="00984501" w:rsidRDefault="00984501">
      <w:pPr>
        <w:spacing w:after="0" w:line="240" w:lineRule="auto"/>
      </w:pPr>
      <w:r>
        <w:separator/>
      </w:r>
    </w:p>
  </w:footnote>
  <w:footnote w:type="continuationSeparator" w:id="0">
    <w:p w14:paraId="4F888BE7" w14:textId="77777777" w:rsidR="00984501" w:rsidRDefault="00984501">
      <w:pPr>
        <w:spacing w:after="0" w:line="240" w:lineRule="auto"/>
      </w:pPr>
      <w:r>
        <w:continuationSeparator/>
      </w:r>
    </w:p>
  </w:footnote>
  <w:footnote w:id="1">
    <w:p w14:paraId="2B640760" w14:textId="4D9BF2BC" w:rsidR="00CF4670" w:rsidRPr="000B59D2" w:rsidRDefault="00CF4670" w:rsidP="00900F32">
      <w:pPr>
        <w:pStyle w:val="a9"/>
        <w:spacing w:line="240" w:lineRule="auto"/>
        <w:rPr>
          <w:rFonts w:ascii="Arial" w:eastAsia="宋体" w:hAnsi="Arial" w:cs="Arial"/>
          <w:lang w:eastAsia="zh-TW"/>
        </w:rPr>
      </w:pPr>
      <w:r w:rsidRPr="000B59D2">
        <w:rPr>
          <w:rStyle w:val="af"/>
          <w:rFonts w:ascii="Arial" w:eastAsia="宋体" w:hAnsi="Arial" w:cs="Arial"/>
        </w:rPr>
        <w:footnoteRef/>
      </w:r>
      <w:r w:rsidR="000B59D2" w:rsidRPr="000B59D2">
        <w:rPr>
          <w:rFonts w:ascii="Arial" w:eastAsia="宋体" w:hAnsi="Arial" w:cs="Arial"/>
          <w:lang w:eastAsia="zh-TW"/>
        </w:rPr>
        <w:t xml:space="preserve"> </w:t>
      </w:r>
      <w:r w:rsidR="000B59D2" w:rsidRPr="000B59D2">
        <w:rPr>
          <w:rFonts w:ascii="Arial" w:eastAsia="宋体" w:hAnsi="Arial" w:cs="Arial" w:hint="eastAsia"/>
          <w:bCs/>
          <w:lang w:eastAsia="zh-TW"/>
        </w:rPr>
        <w:t>由於本期融資性理財和撮合交易納入</w:t>
      </w:r>
      <w:r w:rsidR="000B59D2" w:rsidRPr="000B59D2">
        <w:rPr>
          <w:rFonts w:ascii="Arial" w:eastAsia="宋体" w:hAnsi="Arial" w:cs="Arial"/>
          <w:bCs/>
          <w:lang w:eastAsia="zh-TW"/>
        </w:rPr>
        <w:t>FPA</w:t>
      </w:r>
      <w:r w:rsidR="000B59D2" w:rsidRPr="000B59D2">
        <w:rPr>
          <w:rFonts w:ascii="Arial" w:eastAsia="宋体" w:hAnsi="Arial" w:cs="Arial" w:hint="eastAsia"/>
          <w:bCs/>
          <w:lang w:eastAsia="zh-TW"/>
        </w:rPr>
        <w:t>的範疇有所調整，據此對期初</w:t>
      </w:r>
      <w:r w:rsidR="00A2206D">
        <w:rPr>
          <w:rFonts w:ascii="Arial" w:eastAsia="宋体" w:hAnsi="Arial" w:cs="Arial" w:hint="eastAsia"/>
          <w:bCs/>
          <w:lang w:eastAsia="zh-TW"/>
        </w:rPr>
        <w:t>數據</w:t>
      </w:r>
      <w:r w:rsidR="000B59D2" w:rsidRPr="000B59D2">
        <w:rPr>
          <w:rFonts w:ascii="Arial" w:eastAsia="宋体" w:hAnsi="Arial" w:cs="Arial" w:hint="eastAsia"/>
          <w:bCs/>
          <w:lang w:eastAsia="zh-TW"/>
        </w:rPr>
        <w:t>進行同口徑調整，調整後的期初</w:t>
      </w:r>
      <w:r w:rsidR="000B59D2" w:rsidRPr="000B59D2">
        <w:rPr>
          <w:rFonts w:ascii="Arial" w:eastAsia="宋体" w:hAnsi="Arial" w:cs="Arial"/>
          <w:bCs/>
          <w:lang w:eastAsia="zh-TW"/>
        </w:rPr>
        <w:t>FPA</w:t>
      </w:r>
      <w:r w:rsidR="000B59D2" w:rsidRPr="000B59D2">
        <w:rPr>
          <w:rFonts w:ascii="Arial" w:eastAsia="宋体" w:hAnsi="Arial" w:cs="Arial" w:hint="eastAsia"/>
          <w:bCs/>
          <w:lang w:eastAsia="zh-TW"/>
        </w:rPr>
        <w:t>餘額為</w:t>
      </w:r>
      <w:r w:rsidR="000B59D2" w:rsidRPr="000B59D2">
        <w:rPr>
          <w:rFonts w:ascii="Arial" w:eastAsia="宋体" w:hAnsi="Arial" w:cs="Arial"/>
          <w:bCs/>
          <w:lang w:eastAsia="zh-TW"/>
        </w:rPr>
        <w:t>50,881.27</w:t>
      </w:r>
      <w:r w:rsidR="000B59D2" w:rsidRPr="000B59D2">
        <w:rPr>
          <w:rFonts w:ascii="Arial" w:eastAsia="宋体" w:hAnsi="Arial" w:cs="Arial" w:hint="eastAsia"/>
          <w:bCs/>
          <w:lang w:eastAsia="zh-TW"/>
        </w:rPr>
        <w:t>億元，其中傳統融資</w:t>
      </w:r>
      <w:r w:rsidR="000B59D2" w:rsidRPr="000B59D2">
        <w:rPr>
          <w:rFonts w:ascii="Arial" w:eastAsia="宋体" w:hAnsi="Arial" w:cs="Arial"/>
          <w:bCs/>
          <w:lang w:eastAsia="zh-TW"/>
        </w:rPr>
        <w:t>27,982.44</w:t>
      </w:r>
      <w:r w:rsidR="000B59D2" w:rsidRPr="000B59D2">
        <w:rPr>
          <w:rFonts w:ascii="Arial" w:eastAsia="宋体" w:hAnsi="Arial" w:cs="Arial" w:hint="eastAsia"/>
          <w:bCs/>
          <w:lang w:eastAsia="zh-TW"/>
        </w:rPr>
        <w:t>億元，非傳統融資</w:t>
      </w:r>
      <w:r w:rsidR="000B59D2" w:rsidRPr="000B59D2">
        <w:rPr>
          <w:rFonts w:ascii="Arial" w:eastAsia="宋体" w:hAnsi="Arial" w:cs="Arial"/>
          <w:bCs/>
          <w:lang w:eastAsia="zh-TW"/>
        </w:rPr>
        <w:t>22,898.83</w:t>
      </w:r>
      <w:r w:rsidR="000B59D2" w:rsidRPr="000B59D2">
        <w:rPr>
          <w:rFonts w:ascii="Arial" w:eastAsia="宋体" w:hAnsi="Arial" w:cs="Arial" w:hint="eastAsia"/>
          <w:bCs/>
          <w:lang w:eastAsia="zh-TW"/>
        </w:rPr>
        <w:t>億元。</w:t>
      </w:r>
    </w:p>
  </w:footnote>
  <w:footnote w:id="2">
    <w:p w14:paraId="29337AB0" w14:textId="72BBF4A1" w:rsidR="00CF4670" w:rsidRPr="00BF0247" w:rsidRDefault="009432A2" w:rsidP="00900F32">
      <w:pPr>
        <w:pStyle w:val="a9"/>
        <w:spacing w:line="240" w:lineRule="auto"/>
        <w:rPr>
          <w:rFonts w:ascii="Arial" w:eastAsia="宋体" w:hAnsi="Arial" w:cs="Arial"/>
          <w:lang w:eastAsia="zh-TW"/>
        </w:rPr>
      </w:pPr>
      <w:r w:rsidRPr="00BF0247">
        <w:rPr>
          <w:rStyle w:val="af"/>
          <w:rFonts w:ascii="Arial" w:eastAsia="宋体" w:hAnsi="Arial" w:cs="Arial"/>
        </w:rPr>
        <w:footnoteRef/>
      </w:r>
      <w:r w:rsidR="00BF0247" w:rsidRPr="005D2EAE">
        <w:rPr>
          <w:rFonts w:ascii="Arial" w:eastAsia="宋体" w:hAnsi="Arial" w:cs="Arial" w:hint="eastAsia"/>
          <w:lang w:eastAsia="zh-TW"/>
        </w:rPr>
        <w:t>指在活錢管理、保障管理、穩健投資和進取投資四類財富管理產品中配置了兩類及以上的雙金（金卡及金葵花）客戶。</w:t>
      </w:r>
    </w:p>
  </w:footnote>
  <w:footnote w:id="3">
    <w:p w14:paraId="0C0F3C99" w14:textId="5D4BC0F1" w:rsidR="008B27B3" w:rsidRPr="00BF0247" w:rsidRDefault="008B27B3" w:rsidP="008B27B3">
      <w:pPr>
        <w:pStyle w:val="a9"/>
        <w:spacing w:line="240" w:lineRule="auto"/>
        <w:rPr>
          <w:rFonts w:ascii="Arial" w:eastAsia="宋体" w:hAnsi="Arial" w:cs="Arial"/>
          <w:bCs/>
        </w:rPr>
      </w:pPr>
      <w:r w:rsidRPr="00BF0247">
        <w:rPr>
          <w:rStyle w:val="af"/>
          <w:rFonts w:ascii="Arial" w:eastAsia="宋体" w:hAnsi="Arial" w:cs="Arial"/>
        </w:rPr>
        <w:footnoteRef/>
      </w:r>
      <w:r w:rsidR="00BF0247" w:rsidRPr="00BF0247">
        <w:rPr>
          <w:rStyle w:val="af"/>
          <w:rFonts w:ascii="Arial" w:eastAsia="宋体" w:hAnsi="Arial" w:cs="Arial"/>
          <w:vertAlign w:val="baseline"/>
        </w:rPr>
        <w:t>非傳統融資包括資產經營、自營非標、融資性理財、本公司主承銷債務融資工具、撮合交易、融資租賃、跨境聯動融資、牽頭銀團貸款八大部分。</w:t>
      </w:r>
    </w:p>
  </w:footnote>
  <w:footnote w:id="4">
    <w:p w14:paraId="3F946843" w14:textId="330D4833" w:rsidR="008B27B3" w:rsidRPr="009432A2" w:rsidRDefault="008B27B3" w:rsidP="008B27B3">
      <w:pPr>
        <w:pStyle w:val="a9"/>
        <w:spacing w:line="240" w:lineRule="auto"/>
        <w:rPr>
          <w:rFonts w:ascii="Arial" w:eastAsia="宋体" w:hAnsi="Arial" w:cs="Arial"/>
          <w:lang w:eastAsia="zh-TW"/>
        </w:rPr>
      </w:pPr>
      <w:r w:rsidRPr="00BF0247">
        <w:rPr>
          <w:rStyle w:val="af"/>
          <w:rFonts w:ascii="Arial" w:eastAsia="宋体" w:hAnsi="Arial" w:cs="Arial"/>
        </w:rPr>
        <w:footnoteRef/>
      </w:r>
      <w:r w:rsidRPr="00BF0247">
        <w:rPr>
          <w:rStyle w:val="af"/>
          <w:rFonts w:ascii="Arial" w:eastAsia="宋体" w:hAnsi="Arial" w:cs="Arial"/>
          <w:lang w:eastAsia="zh-TW"/>
        </w:rPr>
        <w:t xml:space="preserve"> </w:t>
      </w:r>
      <w:r w:rsidR="00BF0247" w:rsidRPr="00BF0247">
        <w:rPr>
          <w:rFonts w:ascii="Arial" w:eastAsia="宋体" w:hAnsi="Arial" w:cs="Arial" w:hint="eastAsia"/>
          <w:lang w:eastAsia="zh-TW"/>
        </w:rPr>
        <w:t>招商基金和招銀國際的資管業務規模均為含其子公司的</w:t>
      </w:r>
      <w:r w:rsidR="00BF0247" w:rsidRPr="005D2EAE">
        <w:rPr>
          <w:rFonts w:ascii="Arial" w:eastAsia="宋体" w:hAnsi="Arial" w:cs="Arial" w:hint="eastAsia"/>
          <w:lang w:eastAsia="zh-TW"/>
        </w:rPr>
        <w:t>數據</w:t>
      </w:r>
      <w:r w:rsidR="00BF0247" w:rsidRPr="00BF0247">
        <w:rPr>
          <w:rFonts w:ascii="Arial" w:eastAsia="宋体" w:hAnsi="Arial" w:cs="Arial" w:hint="eastAsia"/>
          <w:lang w:eastAsia="zh-TW"/>
        </w:rPr>
        <w:t>。</w:t>
      </w:r>
    </w:p>
  </w:footnote>
  <w:footnote w:id="5">
    <w:p w14:paraId="2D974737" w14:textId="176EBA7B" w:rsidR="00CF4670" w:rsidRPr="005D2EAE" w:rsidRDefault="00CF4670" w:rsidP="00900F32">
      <w:pPr>
        <w:pStyle w:val="a9"/>
        <w:spacing w:line="240" w:lineRule="auto"/>
        <w:rPr>
          <w:rFonts w:ascii="Arial" w:eastAsia="宋体" w:hAnsi="Arial" w:cs="Arial"/>
          <w:lang w:eastAsia="zh-TW"/>
        </w:rPr>
      </w:pPr>
      <w:r w:rsidRPr="00D80A76">
        <w:rPr>
          <w:rStyle w:val="af"/>
          <w:rFonts w:ascii="Arial" w:eastAsia="宋体" w:hAnsi="Arial" w:cs="Arial"/>
        </w:rPr>
        <w:footnoteRef/>
      </w:r>
      <w:r w:rsidR="00D80A76" w:rsidRPr="00D80A76">
        <w:rPr>
          <w:rFonts w:ascii="Arial" w:eastAsia="宋体" w:hAnsi="Arial" w:cs="Arial"/>
          <w:lang w:eastAsia="zh-TW"/>
        </w:rPr>
        <w:t xml:space="preserve"> </w:t>
      </w:r>
      <w:r w:rsidR="00D80A76" w:rsidRPr="00D80A76">
        <w:rPr>
          <w:rFonts w:ascii="Arial" w:eastAsia="宋体" w:hAnsi="Arial" w:cs="Arial" w:hint="eastAsia"/>
          <w:lang w:eastAsia="zh-TW"/>
        </w:rPr>
        <w:t>可用性指在一段給定時間內正常工作情況的占比，雲</w:t>
      </w:r>
      <w:r w:rsidR="00F07A04">
        <w:rPr>
          <w:rFonts w:ascii="Arial" w:eastAsia="宋体" w:hAnsi="Arial" w:cs="Arial"/>
          <w:lang w:eastAsia="zh-TW"/>
        </w:rPr>
        <w:t>平台</w:t>
      </w:r>
      <w:r w:rsidR="00D80A76" w:rsidRPr="00D80A76">
        <w:rPr>
          <w:rFonts w:ascii="Arial" w:eastAsia="宋体" w:hAnsi="Arial" w:cs="Arial" w:hint="eastAsia"/>
          <w:lang w:eastAsia="zh-TW"/>
        </w:rPr>
        <w:t>整體可用性為在雲</w:t>
      </w:r>
      <w:r w:rsidR="00F07A04">
        <w:rPr>
          <w:rFonts w:ascii="Arial" w:eastAsia="宋体" w:hAnsi="Arial" w:cs="Arial"/>
          <w:lang w:eastAsia="zh-TW"/>
        </w:rPr>
        <w:t>平台</w:t>
      </w:r>
      <w:r w:rsidR="00D80A76" w:rsidRPr="00D80A76">
        <w:rPr>
          <w:rFonts w:ascii="Arial" w:eastAsia="宋体" w:hAnsi="Arial" w:cs="Arial" w:hint="eastAsia"/>
          <w:lang w:eastAsia="zh-TW"/>
        </w:rPr>
        <w:t>上運行的各重要系統可用性的算數平均數。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05E5" w14:textId="7DA4A91D" w:rsidR="00061E17" w:rsidRPr="005D2EAE" w:rsidRDefault="007C101A">
    <w:pPr>
      <w:pStyle w:val="a7"/>
      <w:wordWrap w:val="0"/>
      <w:jc w:val="right"/>
      <w:rPr>
        <w:rFonts w:ascii="Arial" w:eastAsia="宋体" w:hAnsi="Arial" w:cs="Arial"/>
        <w:b/>
      </w:rPr>
    </w:pPr>
    <w:r w:rsidRPr="005D2EA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15182" wp14:editId="2930DBEB">
              <wp:simplePos x="0" y="0"/>
              <wp:positionH relativeFrom="column">
                <wp:posOffset>-814705</wp:posOffset>
              </wp:positionH>
              <wp:positionV relativeFrom="paragraph">
                <wp:posOffset>196215</wp:posOffset>
              </wp:positionV>
              <wp:extent cx="7581900" cy="224790"/>
              <wp:effectExtent l="5715" t="0" r="3810" b="3810"/>
              <wp:wrapNone/>
              <wp:docPr id="14" name="Rectangle: Rounded Corners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7581900" cy="224790"/>
                      </a:xfrm>
                      <a:prstGeom prst="roundRect">
                        <a:avLst>
                          <a:gd name="adj" fmla="val 0"/>
                        </a:avLst>
                      </a:prstGeom>
                      <a:gradFill rotWithShape="1">
                        <a:gsLst>
                          <a:gs pos="0">
                            <a:srgbClr val="FF0000">
                              <a:alpha val="92000"/>
                            </a:srgb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oundrect id="Rectangle: Rounded Corners 14" o:spid="_x0000_s1026" o:spt="2" style="position:absolute;left:0pt;flip:x y;margin-left:-64.15pt;margin-top:15.45pt;height:17.7pt;width:597pt;z-index:251659264;v-text-anchor:middle;mso-width-relative:page;mso-height-relative:page;" fillcolor="#FF0000" filled="t" stroked="f" coordsize="21600,21600" arcsize="0" o:gfxdata="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5Wg5C2gAAAAsBAAAPAAAAAAAAAAEAIAAAACIAAABkcnMvZG93bnJl&#10;di54bWxQSwECFAAUAAAACACHTuJAwkvY4m0CAADdBAAADgAAAAAAAAABACAAAAApAQAAZHJzL2Uy&#10;b0RvYy54bWxQSwUGAAAAAAYABgBZAQAACAYAAAAA&#10;">
              <v:fill type="gradient" on="t" color2="#FFFFFF" opacity="60293f" focus="100%" focussize="0,0" rotate="t"/>
              <v:stroke on="f"/>
              <v:imagedata o:title=""/>
              <o:lock v:ext="edit" aspectratio="f"/>
            </v:roundrect>
          </w:pict>
        </mc:Fallback>
      </mc:AlternateContent>
    </w:r>
    <w:r w:rsidRPr="005D2EAE">
      <w:rPr>
        <w:rFonts w:ascii="Arial" w:hAnsi="Arial" w:cs="Arial"/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52718B3B" wp14:editId="68F72D80">
          <wp:simplePos x="0" y="0"/>
          <wp:positionH relativeFrom="column">
            <wp:posOffset>-382270</wp:posOffset>
          </wp:positionH>
          <wp:positionV relativeFrom="paragraph">
            <wp:posOffset>-347980</wp:posOffset>
          </wp:positionV>
          <wp:extent cx="2150745" cy="582295"/>
          <wp:effectExtent l="0" t="0" r="1905" b="825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-10800000" flipH="1" flipV="1">
                    <a:off x="0" y="0"/>
                    <a:ext cx="215074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717E" w:rsidRPr="005D2EAE">
      <w:rPr>
        <w:rFonts w:ascii="Arial" w:eastAsia="宋体" w:hAnsi="Arial" w:cs="Arial"/>
        <w:b/>
        <w:lang w:eastAsia="zh-TW"/>
      </w:rPr>
      <w:t>2023</w:t>
    </w:r>
    <w:r w:rsidR="002F717E" w:rsidRPr="005D2EAE">
      <w:rPr>
        <w:rFonts w:ascii="Arial" w:eastAsia="宋体" w:hAnsi="Arial" w:cs="Arial" w:hint="eastAsia"/>
        <w:b/>
        <w:lang w:eastAsia="zh-TW"/>
      </w:rPr>
      <w:t>年中期業績新聞稿</w:t>
    </w:r>
  </w:p>
  <w:p w14:paraId="3D78119C" w14:textId="77777777" w:rsidR="00061E17" w:rsidRDefault="00061E17">
    <w:pPr>
      <w:pStyle w:val="a7"/>
      <w:wordWrap w:val="0"/>
      <w:jc w:val="right"/>
      <w:rPr>
        <w:rFonts w:ascii="宋体" w:eastAsia="宋体" w:hAnsi="宋体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3667"/>
    <w:multiLevelType w:val="multilevel"/>
    <w:tmpl w:val="0EC136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412E9"/>
    <w:multiLevelType w:val="multilevel"/>
    <w:tmpl w:val="534412E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38540F5"/>
    <w:multiLevelType w:val="multilevel"/>
    <w:tmpl w:val="638540F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821B8E"/>
    <w:multiLevelType w:val="multilevel"/>
    <w:tmpl w:val="6B821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06AA9"/>
    <w:multiLevelType w:val="hybridMultilevel"/>
    <w:tmpl w:val="628E6360"/>
    <w:lvl w:ilvl="0" w:tplc="E1BED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E7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AE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C2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87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44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0F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C2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85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61978A8"/>
    <w:multiLevelType w:val="multilevel"/>
    <w:tmpl w:val="761978A8"/>
    <w:lvl w:ilvl="0">
      <w:start w:val="1"/>
      <w:numFmt w:val="taiwaneseCountingThousand"/>
      <w:lvlText w:val="%1、"/>
      <w:lvlJc w:val="left"/>
      <w:pPr>
        <w:tabs>
          <w:tab w:val="left" w:pos="465"/>
        </w:tabs>
        <w:ind w:left="465" w:hanging="465"/>
      </w:pPr>
      <w:rPr>
        <w:rFonts w:eastAsia="宋体" w:hint="default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6" w15:restartNumberingAfterBreak="0">
    <w:nsid w:val="7EAA1BB6"/>
    <w:multiLevelType w:val="multilevel"/>
    <w:tmpl w:val="7EAA1BB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49263809">
    <w:abstractNumId w:val="6"/>
  </w:num>
  <w:num w:numId="2" w16cid:durableId="1905019597">
    <w:abstractNumId w:val="2"/>
  </w:num>
  <w:num w:numId="3" w16cid:durableId="968625998">
    <w:abstractNumId w:val="1"/>
  </w:num>
  <w:num w:numId="4" w16cid:durableId="1848135549">
    <w:abstractNumId w:val="5"/>
  </w:num>
  <w:num w:numId="5" w16cid:durableId="4596242">
    <w:abstractNumId w:val="0"/>
  </w:num>
  <w:num w:numId="6" w16cid:durableId="665593036">
    <w:abstractNumId w:val="3"/>
  </w:num>
  <w:num w:numId="7" w16cid:durableId="254438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C5"/>
    <w:rsid w:val="00002B63"/>
    <w:rsid w:val="00004EA1"/>
    <w:rsid w:val="00007CFC"/>
    <w:rsid w:val="00012CB1"/>
    <w:rsid w:val="00015C4E"/>
    <w:rsid w:val="00016CEE"/>
    <w:rsid w:val="0001731F"/>
    <w:rsid w:val="0002429A"/>
    <w:rsid w:val="00030801"/>
    <w:rsid w:val="0003188B"/>
    <w:rsid w:val="00034E1F"/>
    <w:rsid w:val="000352A7"/>
    <w:rsid w:val="0003565D"/>
    <w:rsid w:val="0003642D"/>
    <w:rsid w:val="00043692"/>
    <w:rsid w:val="000465D4"/>
    <w:rsid w:val="00046D81"/>
    <w:rsid w:val="00047F35"/>
    <w:rsid w:val="00050658"/>
    <w:rsid w:val="00050B0A"/>
    <w:rsid w:val="00051E9A"/>
    <w:rsid w:val="00055F63"/>
    <w:rsid w:val="00061E17"/>
    <w:rsid w:val="00061E97"/>
    <w:rsid w:val="000655CE"/>
    <w:rsid w:val="000738BC"/>
    <w:rsid w:val="00075251"/>
    <w:rsid w:val="00076D81"/>
    <w:rsid w:val="00090030"/>
    <w:rsid w:val="00090CE2"/>
    <w:rsid w:val="000939DE"/>
    <w:rsid w:val="00095AFB"/>
    <w:rsid w:val="000962AC"/>
    <w:rsid w:val="00097A8F"/>
    <w:rsid w:val="000A0C22"/>
    <w:rsid w:val="000A23B4"/>
    <w:rsid w:val="000A2B1C"/>
    <w:rsid w:val="000A2FBE"/>
    <w:rsid w:val="000A50DC"/>
    <w:rsid w:val="000A5EF6"/>
    <w:rsid w:val="000B104C"/>
    <w:rsid w:val="000B59D2"/>
    <w:rsid w:val="000C0D7B"/>
    <w:rsid w:val="000C26BF"/>
    <w:rsid w:val="000D1167"/>
    <w:rsid w:val="000D381C"/>
    <w:rsid w:val="000E0A9C"/>
    <w:rsid w:val="000F17DE"/>
    <w:rsid w:val="000F2D15"/>
    <w:rsid w:val="000F3F21"/>
    <w:rsid w:val="000F6486"/>
    <w:rsid w:val="00101E28"/>
    <w:rsid w:val="0010710A"/>
    <w:rsid w:val="001103A4"/>
    <w:rsid w:val="00122158"/>
    <w:rsid w:val="00122AEE"/>
    <w:rsid w:val="00124061"/>
    <w:rsid w:val="00133935"/>
    <w:rsid w:val="0014214A"/>
    <w:rsid w:val="001454A7"/>
    <w:rsid w:val="0014566B"/>
    <w:rsid w:val="00145C87"/>
    <w:rsid w:val="001463F8"/>
    <w:rsid w:val="00154841"/>
    <w:rsid w:val="001579B2"/>
    <w:rsid w:val="00157A9B"/>
    <w:rsid w:val="0016149B"/>
    <w:rsid w:val="00163A10"/>
    <w:rsid w:val="001663C7"/>
    <w:rsid w:val="001701F0"/>
    <w:rsid w:val="00174A1E"/>
    <w:rsid w:val="00174FD0"/>
    <w:rsid w:val="0018626D"/>
    <w:rsid w:val="00186F7F"/>
    <w:rsid w:val="00190B3E"/>
    <w:rsid w:val="0019389A"/>
    <w:rsid w:val="00194551"/>
    <w:rsid w:val="0019766A"/>
    <w:rsid w:val="001A135F"/>
    <w:rsid w:val="001A1AC7"/>
    <w:rsid w:val="001A4064"/>
    <w:rsid w:val="001A5688"/>
    <w:rsid w:val="001A6751"/>
    <w:rsid w:val="001B6D51"/>
    <w:rsid w:val="001C0A69"/>
    <w:rsid w:val="001C44EA"/>
    <w:rsid w:val="001D01BA"/>
    <w:rsid w:val="001D7693"/>
    <w:rsid w:val="001E0319"/>
    <w:rsid w:val="001E250E"/>
    <w:rsid w:val="001E6CAB"/>
    <w:rsid w:val="001F00D9"/>
    <w:rsid w:val="001F1F3C"/>
    <w:rsid w:val="001F28D4"/>
    <w:rsid w:val="002015ED"/>
    <w:rsid w:val="00201C0C"/>
    <w:rsid w:val="00202D6A"/>
    <w:rsid w:val="00207841"/>
    <w:rsid w:val="002124CC"/>
    <w:rsid w:val="00213C34"/>
    <w:rsid w:val="002155D0"/>
    <w:rsid w:val="002323AB"/>
    <w:rsid w:val="002342FF"/>
    <w:rsid w:val="002344EA"/>
    <w:rsid w:val="002346A7"/>
    <w:rsid w:val="00237D27"/>
    <w:rsid w:val="0024025D"/>
    <w:rsid w:val="00246A0D"/>
    <w:rsid w:val="00247192"/>
    <w:rsid w:val="00252A03"/>
    <w:rsid w:val="002531CD"/>
    <w:rsid w:val="00253F99"/>
    <w:rsid w:val="00260106"/>
    <w:rsid w:val="002621E5"/>
    <w:rsid w:val="00262BF0"/>
    <w:rsid w:val="002646C9"/>
    <w:rsid w:val="002661A4"/>
    <w:rsid w:val="00266C03"/>
    <w:rsid w:val="002730BA"/>
    <w:rsid w:val="0027319C"/>
    <w:rsid w:val="002757F3"/>
    <w:rsid w:val="00277F3C"/>
    <w:rsid w:val="0028520D"/>
    <w:rsid w:val="00292C90"/>
    <w:rsid w:val="00295820"/>
    <w:rsid w:val="0029640F"/>
    <w:rsid w:val="00296D4B"/>
    <w:rsid w:val="002A1400"/>
    <w:rsid w:val="002A45D4"/>
    <w:rsid w:val="002A46D6"/>
    <w:rsid w:val="002A4AB6"/>
    <w:rsid w:val="002B359D"/>
    <w:rsid w:val="002C5A38"/>
    <w:rsid w:val="002C768D"/>
    <w:rsid w:val="002D0084"/>
    <w:rsid w:val="002D50D5"/>
    <w:rsid w:val="002E2EC3"/>
    <w:rsid w:val="002E328E"/>
    <w:rsid w:val="002E3A2F"/>
    <w:rsid w:val="002E6D35"/>
    <w:rsid w:val="002F0B05"/>
    <w:rsid w:val="002F1D58"/>
    <w:rsid w:val="002F399A"/>
    <w:rsid w:val="002F717E"/>
    <w:rsid w:val="00302869"/>
    <w:rsid w:val="003075B7"/>
    <w:rsid w:val="00310B64"/>
    <w:rsid w:val="00312EEC"/>
    <w:rsid w:val="003218E8"/>
    <w:rsid w:val="00321BDC"/>
    <w:rsid w:val="003258EF"/>
    <w:rsid w:val="00325A06"/>
    <w:rsid w:val="00331A85"/>
    <w:rsid w:val="00332B7C"/>
    <w:rsid w:val="00333D29"/>
    <w:rsid w:val="003344C0"/>
    <w:rsid w:val="00336BBC"/>
    <w:rsid w:val="00337FBB"/>
    <w:rsid w:val="003405A2"/>
    <w:rsid w:val="00351984"/>
    <w:rsid w:val="00352443"/>
    <w:rsid w:val="0035380F"/>
    <w:rsid w:val="0035625F"/>
    <w:rsid w:val="00357CB2"/>
    <w:rsid w:val="00367215"/>
    <w:rsid w:val="00367C80"/>
    <w:rsid w:val="003712D8"/>
    <w:rsid w:val="003736C5"/>
    <w:rsid w:val="00377F58"/>
    <w:rsid w:val="00381E3E"/>
    <w:rsid w:val="00383738"/>
    <w:rsid w:val="00387C67"/>
    <w:rsid w:val="003906E8"/>
    <w:rsid w:val="00395B05"/>
    <w:rsid w:val="00397152"/>
    <w:rsid w:val="003A0230"/>
    <w:rsid w:val="003A699D"/>
    <w:rsid w:val="003B230A"/>
    <w:rsid w:val="003C1C48"/>
    <w:rsid w:val="003C1EF9"/>
    <w:rsid w:val="003C355F"/>
    <w:rsid w:val="003C35C1"/>
    <w:rsid w:val="003C5816"/>
    <w:rsid w:val="003C6BC3"/>
    <w:rsid w:val="003D1B73"/>
    <w:rsid w:val="003D1CCD"/>
    <w:rsid w:val="003E20BD"/>
    <w:rsid w:val="003E3084"/>
    <w:rsid w:val="003E42EC"/>
    <w:rsid w:val="003F3B24"/>
    <w:rsid w:val="00401B78"/>
    <w:rsid w:val="00417CBB"/>
    <w:rsid w:val="00417F01"/>
    <w:rsid w:val="00425F82"/>
    <w:rsid w:val="0043534E"/>
    <w:rsid w:val="00441ABF"/>
    <w:rsid w:val="004457C0"/>
    <w:rsid w:val="00450D2B"/>
    <w:rsid w:val="00455F67"/>
    <w:rsid w:val="00456FCB"/>
    <w:rsid w:val="00467A62"/>
    <w:rsid w:val="0047182C"/>
    <w:rsid w:val="00471AA0"/>
    <w:rsid w:val="004738D9"/>
    <w:rsid w:val="0047443A"/>
    <w:rsid w:val="00480239"/>
    <w:rsid w:val="0048116B"/>
    <w:rsid w:val="0048282E"/>
    <w:rsid w:val="0048348F"/>
    <w:rsid w:val="004841C8"/>
    <w:rsid w:val="0048768A"/>
    <w:rsid w:val="004A44A9"/>
    <w:rsid w:val="004A6C96"/>
    <w:rsid w:val="004B0788"/>
    <w:rsid w:val="004B67B3"/>
    <w:rsid w:val="004B6909"/>
    <w:rsid w:val="004B7F10"/>
    <w:rsid w:val="004C4A1A"/>
    <w:rsid w:val="004D17F9"/>
    <w:rsid w:val="004D2D6F"/>
    <w:rsid w:val="004E0B2C"/>
    <w:rsid w:val="004E2AE8"/>
    <w:rsid w:val="004E2D0D"/>
    <w:rsid w:val="004E4443"/>
    <w:rsid w:val="004E73FA"/>
    <w:rsid w:val="004E745D"/>
    <w:rsid w:val="004F034A"/>
    <w:rsid w:val="004F1DE8"/>
    <w:rsid w:val="004F7E17"/>
    <w:rsid w:val="00500059"/>
    <w:rsid w:val="00501615"/>
    <w:rsid w:val="00502CA9"/>
    <w:rsid w:val="00504AEE"/>
    <w:rsid w:val="0050732F"/>
    <w:rsid w:val="00507DCE"/>
    <w:rsid w:val="0051241C"/>
    <w:rsid w:val="005163EA"/>
    <w:rsid w:val="005172BB"/>
    <w:rsid w:val="005179C1"/>
    <w:rsid w:val="00520FCD"/>
    <w:rsid w:val="00526188"/>
    <w:rsid w:val="00530114"/>
    <w:rsid w:val="005325A5"/>
    <w:rsid w:val="00542F34"/>
    <w:rsid w:val="00545ABA"/>
    <w:rsid w:val="00551CBA"/>
    <w:rsid w:val="00552522"/>
    <w:rsid w:val="00553B5F"/>
    <w:rsid w:val="00557B2E"/>
    <w:rsid w:val="00560E22"/>
    <w:rsid w:val="005633CA"/>
    <w:rsid w:val="005654DD"/>
    <w:rsid w:val="005822FC"/>
    <w:rsid w:val="00592ACB"/>
    <w:rsid w:val="00592B06"/>
    <w:rsid w:val="005B0450"/>
    <w:rsid w:val="005B049F"/>
    <w:rsid w:val="005B279A"/>
    <w:rsid w:val="005B2C09"/>
    <w:rsid w:val="005B3F5D"/>
    <w:rsid w:val="005C09B7"/>
    <w:rsid w:val="005D1FF3"/>
    <w:rsid w:val="005D2A00"/>
    <w:rsid w:val="005D2EAE"/>
    <w:rsid w:val="005D543A"/>
    <w:rsid w:val="005D5E51"/>
    <w:rsid w:val="005D6B8F"/>
    <w:rsid w:val="005E4DE6"/>
    <w:rsid w:val="005F0674"/>
    <w:rsid w:val="005F6A87"/>
    <w:rsid w:val="005F6A8E"/>
    <w:rsid w:val="006015CC"/>
    <w:rsid w:val="0060448B"/>
    <w:rsid w:val="00612D22"/>
    <w:rsid w:val="0061379E"/>
    <w:rsid w:val="006172F0"/>
    <w:rsid w:val="00624D0A"/>
    <w:rsid w:val="00633B6B"/>
    <w:rsid w:val="00634D4A"/>
    <w:rsid w:val="00635B09"/>
    <w:rsid w:val="00642C83"/>
    <w:rsid w:val="006436A9"/>
    <w:rsid w:val="0064442D"/>
    <w:rsid w:val="00644B67"/>
    <w:rsid w:val="0065141D"/>
    <w:rsid w:val="006536C4"/>
    <w:rsid w:val="0065450E"/>
    <w:rsid w:val="00662131"/>
    <w:rsid w:val="006645BD"/>
    <w:rsid w:val="00667044"/>
    <w:rsid w:val="00667F0A"/>
    <w:rsid w:val="0067147E"/>
    <w:rsid w:val="0067197D"/>
    <w:rsid w:val="006719DE"/>
    <w:rsid w:val="0067625F"/>
    <w:rsid w:val="0068099E"/>
    <w:rsid w:val="006857FD"/>
    <w:rsid w:val="00686B87"/>
    <w:rsid w:val="00687D52"/>
    <w:rsid w:val="006948B6"/>
    <w:rsid w:val="00695B15"/>
    <w:rsid w:val="006A3D55"/>
    <w:rsid w:val="006A425C"/>
    <w:rsid w:val="006A450B"/>
    <w:rsid w:val="006A7472"/>
    <w:rsid w:val="006C16BF"/>
    <w:rsid w:val="006C4DCE"/>
    <w:rsid w:val="006C7F31"/>
    <w:rsid w:val="006D0E79"/>
    <w:rsid w:val="006D243B"/>
    <w:rsid w:val="006D3A75"/>
    <w:rsid w:val="006D3D37"/>
    <w:rsid w:val="006D3EAB"/>
    <w:rsid w:val="006D4907"/>
    <w:rsid w:val="006D571E"/>
    <w:rsid w:val="006D5949"/>
    <w:rsid w:val="006D70A4"/>
    <w:rsid w:val="006D7537"/>
    <w:rsid w:val="006E7701"/>
    <w:rsid w:val="006E7E3F"/>
    <w:rsid w:val="006F29E4"/>
    <w:rsid w:val="00701427"/>
    <w:rsid w:val="00703091"/>
    <w:rsid w:val="00706FC4"/>
    <w:rsid w:val="00712A3B"/>
    <w:rsid w:val="00721BC6"/>
    <w:rsid w:val="007306A1"/>
    <w:rsid w:val="007359B1"/>
    <w:rsid w:val="007361AE"/>
    <w:rsid w:val="00741DAE"/>
    <w:rsid w:val="00742845"/>
    <w:rsid w:val="00743D05"/>
    <w:rsid w:val="007509AC"/>
    <w:rsid w:val="00756BAE"/>
    <w:rsid w:val="00761D16"/>
    <w:rsid w:val="00763847"/>
    <w:rsid w:val="007743F7"/>
    <w:rsid w:val="007815FD"/>
    <w:rsid w:val="00781EF1"/>
    <w:rsid w:val="00782B19"/>
    <w:rsid w:val="00786783"/>
    <w:rsid w:val="00793C21"/>
    <w:rsid w:val="00794859"/>
    <w:rsid w:val="007979E6"/>
    <w:rsid w:val="007A74CF"/>
    <w:rsid w:val="007C101A"/>
    <w:rsid w:val="007C3B93"/>
    <w:rsid w:val="007C3C5A"/>
    <w:rsid w:val="007C3D9F"/>
    <w:rsid w:val="007C48FC"/>
    <w:rsid w:val="007D4769"/>
    <w:rsid w:val="007D55BA"/>
    <w:rsid w:val="007D6D1F"/>
    <w:rsid w:val="007D71D0"/>
    <w:rsid w:val="007E04C9"/>
    <w:rsid w:val="007E1654"/>
    <w:rsid w:val="007E5DE5"/>
    <w:rsid w:val="007E6C20"/>
    <w:rsid w:val="007E7DB3"/>
    <w:rsid w:val="007F133C"/>
    <w:rsid w:val="007F24E2"/>
    <w:rsid w:val="007F2A2F"/>
    <w:rsid w:val="007F6C10"/>
    <w:rsid w:val="007F7359"/>
    <w:rsid w:val="007F751A"/>
    <w:rsid w:val="008019C7"/>
    <w:rsid w:val="00804A26"/>
    <w:rsid w:val="00816EBA"/>
    <w:rsid w:val="00821252"/>
    <w:rsid w:val="00840081"/>
    <w:rsid w:val="00851555"/>
    <w:rsid w:val="00851E29"/>
    <w:rsid w:val="00851F8E"/>
    <w:rsid w:val="00853F78"/>
    <w:rsid w:val="0085549A"/>
    <w:rsid w:val="008620D8"/>
    <w:rsid w:val="008657A6"/>
    <w:rsid w:val="00876F46"/>
    <w:rsid w:val="008815B0"/>
    <w:rsid w:val="00885D5D"/>
    <w:rsid w:val="0088712B"/>
    <w:rsid w:val="0089252E"/>
    <w:rsid w:val="008977FE"/>
    <w:rsid w:val="008B27B3"/>
    <w:rsid w:val="008B482F"/>
    <w:rsid w:val="008B62EE"/>
    <w:rsid w:val="008C23A6"/>
    <w:rsid w:val="008D5872"/>
    <w:rsid w:val="008E1612"/>
    <w:rsid w:val="008E593F"/>
    <w:rsid w:val="008E771E"/>
    <w:rsid w:val="008F73DD"/>
    <w:rsid w:val="00900F32"/>
    <w:rsid w:val="009011D7"/>
    <w:rsid w:val="00910CB3"/>
    <w:rsid w:val="0091380B"/>
    <w:rsid w:val="009149F0"/>
    <w:rsid w:val="00915DF5"/>
    <w:rsid w:val="00916586"/>
    <w:rsid w:val="00916FBD"/>
    <w:rsid w:val="00917BAB"/>
    <w:rsid w:val="009256A0"/>
    <w:rsid w:val="0092632B"/>
    <w:rsid w:val="0094250E"/>
    <w:rsid w:val="009432A2"/>
    <w:rsid w:val="009458FE"/>
    <w:rsid w:val="00951F83"/>
    <w:rsid w:val="00960FD1"/>
    <w:rsid w:val="00963455"/>
    <w:rsid w:val="0096372C"/>
    <w:rsid w:val="009653C1"/>
    <w:rsid w:val="00965B6D"/>
    <w:rsid w:val="009672A8"/>
    <w:rsid w:val="00967461"/>
    <w:rsid w:val="00967583"/>
    <w:rsid w:val="00974200"/>
    <w:rsid w:val="0098321E"/>
    <w:rsid w:val="00984501"/>
    <w:rsid w:val="00985A2C"/>
    <w:rsid w:val="00985EEF"/>
    <w:rsid w:val="00986E65"/>
    <w:rsid w:val="00990A82"/>
    <w:rsid w:val="0099659F"/>
    <w:rsid w:val="0099666E"/>
    <w:rsid w:val="009973D0"/>
    <w:rsid w:val="009A2BCF"/>
    <w:rsid w:val="009A3D07"/>
    <w:rsid w:val="009A5312"/>
    <w:rsid w:val="009A70F4"/>
    <w:rsid w:val="009B2460"/>
    <w:rsid w:val="009B3857"/>
    <w:rsid w:val="009B4463"/>
    <w:rsid w:val="009B4ADF"/>
    <w:rsid w:val="009B743C"/>
    <w:rsid w:val="009C2054"/>
    <w:rsid w:val="009C3342"/>
    <w:rsid w:val="009C7A97"/>
    <w:rsid w:val="009D28E3"/>
    <w:rsid w:val="009D297D"/>
    <w:rsid w:val="009D2B9F"/>
    <w:rsid w:val="009E2331"/>
    <w:rsid w:val="009E33D8"/>
    <w:rsid w:val="009F38C5"/>
    <w:rsid w:val="009F43EE"/>
    <w:rsid w:val="009F4B72"/>
    <w:rsid w:val="00A05BDA"/>
    <w:rsid w:val="00A15F62"/>
    <w:rsid w:val="00A20F5E"/>
    <w:rsid w:val="00A21BD6"/>
    <w:rsid w:val="00A2206D"/>
    <w:rsid w:val="00A260D8"/>
    <w:rsid w:val="00A276C7"/>
    <w:rsid w:val="00A27F73"/>
    <w:rsid w:val="00A30334"/>
    <w:rsid w:val="00A34B6D"/>
    <w:rsid w:val="00A351DF"/>
    <w:rsid w:val="00A35902"/>
    <w:rsid w:val="00A53307"/>
    <w:rsid w:val="00A63876"/>
    <w:rsid w:val="00A64096"/>
    <w:rsid w:val="00A71DDB"/>
    <w:rsid w:val="00A7417A"/>
    <w:rsid w:val="00A80BF0"/>
    <w:rsid w:val="00A83130"/>
    <w:rsid w:val="00A9059A"/>
    <w:rsid w:val="00A93853"/>
    <w:rsid w:val="00A95BC5"/>
    <w:rsid w:val="00AA231C"/>
    <w:rsid w:val="00AA7F0D"/>
    <w:rsid w:val="00AB1BC1"/>
    <w:rsid w:val="00AB35A9"/>
    <w:rsid w:val="00AB4B8A"/>
    <w:rsid w:val="00AC02F5"/>
    <w:rsid w:val="00AC19DB"/>
    <w:rsid w:val="00AC48C2"/>
    <w:rsid w:val="00AD1CAE"/>
    <w:rsid w:val="00AD2194"/>
    <w:rsid w:val="00AD2BCC"/>
    <w:rsid w:val="00AD38D3"/>
    <w:rsid w:val="00AF0EFC"/>
    <w:rsid w:val="00AF333A"/>
    <w:rsid w:val="00AF397C"/>
    <w:rsid w:val="00AF5CFF"/>
    <w:rsid w:val="00AF632B"/>
    <w:rsid w:val="00B02760"/>
    <w:rsid w:val="00B03D81"/>
    <w:rsid w:val="00B04972"/>
    <w:rsid w:val="00B052DE"/>
    <w:rsid w:val="00B05F5F"/>
    <w:rsid w:val="00B0729E"/>
    <w:rsid w:val="00B07F0B"/>
    <w:rsid w:val="00B13A45"/>
    <w:rsid w:val="00B267C0"/>
    <w:rsid w:val="00B270C7"/>
    <w:rsid w:val="00B30B94"/>
    <w:rsid w:val="00B363E0"/>
    <w:rsid w:val="00B40E7F"/>
    <w:rsid w:val="00B451B8"/>
    <w:rsid w:val="00B4787B"/>
    <w:rsid w:val="00B47D4B"/>
    <w:rsid w:val="00B47D5E"/>
    <w:rsid w:val="00B52B40"/>
    <w:rsid w:val="00B53CFE"/>
    <w:rsid w:val="00B637CD"/>
    <w:rsid w:val="00B645C3"/>
    <w:rsid w:val="00B7215D"/>
    <w:rsid w:val="00B8477D"/>
    <w:rsid w:val="00B903F9"/>
    <w:rsid w:val="00B90A47"/>
    <w:rsid w:val="00B91820"/>
    <w:rsid w:val="00B9424A"/>
    <w:rsid w:val="00B95220"/>
    <w:rsid w:val="00B96D83"/>
    <w:rsid w:val="00BA2159"/>
    <w:rsid w:val="00BA7990"/>
    <w:rsid w:val="00BC1094"/>
    <w:rsid w:val="00BC1E5A"/>
    <w:rsid w:val="00BC2F87"/>
    <w:rsid w:val="00BD7C77"/>
    <w:rsid w:val="00BE26E6"/>
    <w:rsid w:val="00BE37D3"/>
    <w:rsid w:val="00BE4CF0"/>
    <w:rsid w:val="00BE4D7E"/>
    <w:rsid w:val="00BE6E1B"/>
    <w:rsid w:val="00BF0247"/>
    <w:rsid w:val="00BF258C"/>
    <w:rsid w:val="00BF5E49"/>
    <w:rsid w:val="00C033BB"/>
    <w:rsid w:val="00C069EA"/>
    <w:rsid w:val="00C11914"/>
    <w:rsid w:val="00C14EDD"/>
    <w:rsid w:val="00C3203D"/>
    <w:rsid w:val="00C3650F"/>
    <w:rsid w:val="00C40F60"/>
    <w:rsid w:val="00C52FEA"/>
    <w:rsid w:val="00C554A4"/>
    <w:rsid w:val="00C60DE4"/>
    <w:rsid w:val="00C64354"/>
    <w:rsid w:val="00C65CA3"/>
    <w:rsid w:val="00C67573"/>
    <w:rsid w:val="00C83708"/>
    <w:rsid w:val="00C83C3A"/>
    <w:rsid w:val="00C85EE0"/>
    <w:rsid w:val="00C86B70"/>
    <w:rsid w:val="00C902C0"/>
    <w:rsid w:val="00CA3807"/>
    <w:rsid w:val="00CA489A"/>
    <w:rsid w:val="00CA6198"/>
    <w:rsid w:val="00CA69E1"/>
    <w:rsid w:val="00CA7DD5"/>
    <w:rsid w:val="00CB0782"/>
    <w:rsid w:val="00CB7347"/>
    <w:rsid w:val="00CC1A20"/>
    <w:rsid w:val="00CC1F44"/>
    <w:rsid w:val="00CC4E9A"/>
    <w:rsid w:val="00CC52BC"/>
    <w:rsid w:val="00CD11C7"/>
    <w:rsid w:val="00CD1632"/>
    <w:rsid w:val="00CD2272"/>
    <w:rsid w:val="00CD596F"/>
    <w:rsid w:val="00CE233C"/>
    <w:rsid w:val="00CE2510"/>
    <w:rsid w:val="00CE73FD"/>
    <w:rsid w:val="00CF0E73"/>
    <w:rsid w:val="00CF1B3F"/>
    <w:rsid w:val="00CF2BDF"/>
    <w:rsid w:val="00CF3B8D"/>
    <w:rsid w:val="00CF4670"/>
    <w:rsid w:val="00CF625B"/>
    <w:rsid w:val="00CF7839"/>
    <w:rsid w:val="00D003D6"/>
    <w:rsid w:val="00D0184E"/>
    <w:rsid w:val="00D05BC2"/>
    <w:rsid w:val="00D074C2"/>
    <w:rsid w:val="00D23CC5"/>
    <w:rsid w:val="00D2425A"/>
    <w:rsid w:val="00D30377"/>
    <w:rsid w:val="00D31F23"/>
    <w:rsid w:val="00D34873"/>
    <w:rsid w:val="00D34F04"/>
    <w:rsid w:val="00D36F1F"/>
    <w:rsid w:val="00D37057"/>
    <w:rsid w:val="00D3736A"/>
    <w:rsid w:val="00D42439"/>
    <w:rsid w:val="00D46431"/>
    <w:rsid w:val="00D522FE"/>
    <w:rsid w:val="00D5771F"/>
    <w:rsid w:val="00D61511"/>
    <w:rsid w:val="00D634C5"/>
    <w:rsid w:val="00D6602D"/>
    <w:rsid w:val="00D67E8A"/>
    <w:rsid w:val="00D75795"/>
    <w:rsid w:val="00D80A76"/>
    <w:rsid w:val="00D84719"/>
    <w:rsid w:val="00D876B0"/>
    <w:rsid w:val="00DA0E45"/>
    <w:rsid w:val="00DA3C92"/>
    <w:rsid w:val="00DC00BB"/>
    <w:rsid w:val="00DC5239"/>
    <w:rsid w:val="00DC6E48"/>
    <w:rsid w:val="00DC7393"/>
    <w:rsid w:val="00DC74B4"/>
    <w:rsid w:val="00DD023A"/>
    <w:rsid w:val="00DD657D"/>
    <w:rsid w:val="00DD79CB"/>
    <w:rsid w:val="00DD7DA7"/>
    <w:rsid w:val="00DE3866"/>
    <w:rsid w:val="00DE657C"/>
    <w:rsid w:val="00DE6886"/>
    <w:rsid w:val="00DE7F15"/>
    <w:rsid w:val="00E0097A"/>
    <w:rsid w:val="00E01443"/>
    <w:rsid w:val="00E1038E"/>
    <w:rsid w:val="00E162EE"/>
    <w:rsid w:val="00E32D68"/>
    <w:rsid w:val="00E3635D"/>
    <w:rsid w:val="00E456E2"/>
    <w:rsid w:val="00E535A1"/>
    <w:rsid w:val="00E53C39"/>
    <w:rsid w:val="00E6576C"/>
    <w:rsid w:val="00E84AE9"/>
    <w:rsid w:val="00E8756B"/>
    <w:rsid w:val="00E87B24"/>
    <w:rsid w:val="00E906D9"/>
    <w:rsid w:val="00E93D96"/>
    <w:rsid w:val="00EA0BE6"/>
    <w:rsid w:val="00EA1324"/>
    <w:rsid w:val="00EA22A2"/>
    <w:rsid w:val="00EA6FAE"/>
    <w:rsid w:val="00EB719A"/>
    <w:rsid w:val="00ED16E8"/>
    <w:rsid w:val="00EE571D"/>
    <w:rsid w:val="00EE73F3"/>
    <w:rsid w:val="00EF054E"/>
    <w:rsid w:val="00EF158D"/>
    <w:rsid w:val="00EF1B44"/>
    <w:rsid w:val="00F00C8C"/>
    <w:rsid w:val="00F0172B"/>
    <w:rsid w:val="00F075F7"/>
    <w:rsid w:val="00F07A04"/>
    <w:rsid w:val="00F07DC4"/>
    <w:rsid w:val="00F104F7"/>
    <w:rsid w:val="00F11371"/>
    <w:rsid w:val="00F13697"/>
    <w:rsid w:val="00F16C6D"/>
    <w:rsid w:val="00F2073B"/>
    <w:rsid w:val="00F22546"/>
    <w:rsid w:val="00F26F75"/>
    <w:rsid w:val="00F278E0"/>
    <w:rsid w:val="00F27D35"/>
    <w:rsid w:val="00F321D8"/>
    <w:rsid w:val="00F37E6E"/>
    <w:rsid w:val="00F44DBD"/>
    <w:rsid w:val="00F51653"/>
    <w:rsid w:val="00F53EC2"/>
    <w:rsid w:val="00F53FE7"/>
    <w:rsid w:val="00F55AD7"/>
    <w:rsid w:val="00F63F1F"/>
    <w:rsid w:val="00F665A7"/>
    <w:rsid w:val="00F700D6"/>
    <w:rsid w:val="00F72A40"/>
    <w:rsid w:val="00F7461A"/>
    <w:rsid w:val="00F75A8E"/>
    <w:rsid w:val="00F83F54"/>
    <w:rsid w:val="00F92F42"/>
    <w:rsid w:val="00FA2BC0"/>
    <w:rsid w:val="00FA4246"/>
    <w:rsid w:val="00FA7514"/>
    <w:rsid w:val="00FC463C"/>
    <w:rsid w:val="00FD1AFA"/>
    <w:rsid w:val="00FD2EBB"/>
    <w:rsid w:val="00FD3953"/>
    <w:rsid w:val="00FD453E"/>
    <w:rsid w:val="00FD4D72"/>
    <w:rsid w:val="00FD6861"/>
    <w:rsid w:val="00FD7A2D"/>
    <w:rsid w:val="00FE00D4"/>
    <w:rsid w:val="00FE30A2"/>
    <w:rsid w:val="00FE3973"/>
    <w:rsid w:val="00FF2D2D"/>
    <w:rsid w:val="00FF4283"/>
    <w:rsid w:val="00FF63D5"/>
    <w:rsid w:val="2412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0736246"/>
  <w15:docId w15:val="{8DC2D321-4F02-46E2-86E7-84D94541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5A9"/>
    <w:rPr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a9">
    <w:name w:val="footnote text"/>
    <w:basedOn w:val="a"/>
    <w:link w:val="aa"/>
    <w:uiPriority w:val="99"/>
    <w:unhideWhenUsed/>
    <w:qFormat/>
    <w:pPr>
      <w:snapToGrid w:val="0"/>
    </w:pPr>
    <w:rPr>
      <w:sz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">
    <w:name w:val="footnote reference"/>
    <w:basedOn w:val="a0"/>
    <w:unhideWhenUsed/>
    <w:qFormat/>
    <w:rPr>
      <w:vertAlign w:val="superscript"/>
    </w:rPr>
  </w:style>
  <w:style w:type="character" w:customStyle="1" w:styleId="a8">
    <w:name w:val="页眉 字符"/>
    <w:basedOn w:val="a0"/>
    <w:link w:val="a7"/>
    <w:uiPriority w:val="99"/>
  </w:style>
  <w:style w:type="character" w:customStyle="1" w:styleId="a6">
    <w:name w:val="页脚 字符"/>
    <w:basedOn w:val="a0"/>
    <w:link w:val="a5"/>
    <w:uiPriority w:val="99"/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批注文字 字符"/>
    <w:basedOn w:val="a0"/>
    <w:link w:val="a3"/>
    <w:uiPriority w:val="99"/>
    <w:semiHidden/>
    <w:rPr>
      <w:sz w:val="20"/>
      <w:szCs w:val="20"/>
    </w:rPr>
  </w:style>
  <w:style w:type="character" w:customStyle="1" w:styleId="ac">
    <w:name w:val="批注主题 字符"/>
    <w:basedOn w:val="a4"/>
    <w:link w:val="ab"/>
    <w:uiPriority w:val="99"/>
    <w:semiHidden/>
    <w:rPr>
      <w:b/>
      <w:bCs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CF4670"/>
    <w:pPr>
      <w:spacing w:after="0" w:line="240" w:lineRule="auto"/>
    </w:pPr>
    <w:rPr>
      <w:sz w:val="22"/>
      <w:szCs w:val="22"/>
      <w:lang w:val="zh-CN"/>
    </w:rPr>
  </w:style>
  <w:style w:type="character" w:customStyle="1" w:styleId="aa">
    <w:name w:val="脚注文本 字符"/>
    <w:link w:val="a9"/>
    <w:uiPriority w:val="99"/>
    <w:qFormat/>
    <w:rsid w:val="00CF4670"/>
    <w:rPr>
      <w:sz w:val="18"/>
      <w:szCs w:val="2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20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22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3BDB56-C3E8-4BD2-8900-C5F6356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Vivian Wang</cp:lastModifiedBy>
  <cp:revision>4</cp:revision>
  <dcterms:created xsi:type="dcterms:W3CDTF">2023-08-25T07:20:00Z</dcterms:created>
  <dcterms:modified xsi:type="dcterms:W3CDTF">2023-08-25T07:27:00Z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