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CBF4125" w14:textId="25F713D4" w:rsidR="00BC434B" w:rsidRPr="00FF0945" w:rsidRDefault="00BC434B">
      <w:pPr>
        <w:jc w:val="center"/>
        <w:rPr>
          <w:rFonts w:ascii="Arial" w:hAnsi="Arial" w:cs="Arial"/>
          <w:b/>
          <w:sz w:val="32"/>
          <w:szCs w:val="32"/>
        </w:rPr>
      </w:pPr>
      <w:r w:rsidRPr="00FF0945">
        <w:rPr>
          <w:rFonts w:ascii="Arial" w:hAnsi="Arial" w:cs="Arial"/>
          <w:b/>
          <w:sz w:val="32"/>
          <w:szCs w:val="32"/>
        </w:rPr>
        <w:t>招商银行公布</w:t>
      </w:r>
      <w:r w:rsidRPr="00FF0945">
        <w:rPr>
          <w:rFonts w:ascii="Arial" w:hAnsi="Arial" w:cs="Arial"/>
          <w:b/>
          <w:sz w:val="32"/>
          <w:szCs w:val="32"/>
        </w:rPr>
        <w:t>202</w:t>
      </w:r>
      <w:r w:rsidR="005C7661">
        <w:rPr>
          <w:rFonts w:ascii="Arial" w:hAnsi="Arial" w:cs="Arial" w:hint="eastAsia"/>
          <w:b/>
          <w:sz w:val="32"/>
          <w:szCs w:val="32"/>
        </w:rPr>
        <w:t>4</w:t>
      </w:r>
      <w:r w:rsidRPr="00FF0945">
        <w:rPr>
          <w:rFonts w:ascii="Arial" w:hAnsi="Arial" w:cs="Arial"/>
          <w:b/>
          <w:sz w:val="32"/>
          <w:szCs w:val="32"/>
        </w:rPr>
        <w:t>年第</w:t>
      </w:r>
      <w:r w:rsidR="00025B92">
        <w:rPr>
          <w:rFonts w:ascii="Arial" w:hAnsi="Arial" w:cs="Arial" w:hint="eastAsia"/>
          <w:b/>
          <w:sz w:val="32"/>
          <w:szCs w:val="32"/>
        </w:rPr>
        <w:t>三</w:t>
      </w:r>
      <w:r w:rsidRPr="00FF0945">
        <w:rPr>
          <w:rFonts w:ascii="Arial" w:hAnsi="Arial" w:cs="Arial"/>
          <w:b/>
          <w:sz w:val="32"/>
          <w:szCs w:val="32"/>
        </w:rPr>
        <w:t>季度业绩</w:t>
      </w:r>
    </w:p>
    <w:p w14:paraId="2032E835" w14:textId="31B644B2" w:rsidR="00EE64ED" w:rsidRPr="00FF0945" w:rsidRDefault="00E2236E">
      <w:pPr>
        <w:jc w:val="center"/>
        <w:rPr>
          <w:rFonts w:ascii="Arial" w:hAnsi="Arial" w:cs="Arial"/>
          <w:b/>
          <w:color w:val="000000"/>
          <w:sz w:val="28"/>
          <w:szCs w:val="28"/>
        </w:rPr>
      </w:pPr>
      <w:r w:rsidRPr="00E2236E">
        <w:rPr>
          <w:rFonts w:ascii="Arial" w:hAnsi="Arial" w:cs="Arial" w:hint="eastAsia"/>
          <w:b/>
          <w:color w:val="000000"/>
          <w:sz w:val="28"/>
          <w:szCs w:val="28"/>
        </w:rPr>
        <w:t>营收和净利润</w:t>
      </w:r>
      <w:proofErr w:type="gramStart"/>
      <w:r w:rsidRPr="00E2236E">
        <w:rPr>
          <w:rFonts w:ascii="Arial" w:hAnsi="Arial" w:cs="Arial" w:hint="eastAsia"/>
          <w:b/>
          <w:color w:val="000000"/>
          <w:sz w:val="28"/>
          <w:szCs w:val="28"/>
        </w:rPr>
        <w:t>降幅收</w:t>
      </w:r>
      <w:proofErr w:type="gramEnd"/>
      <w:r w:rsidRPr="00E2236E">
        <w:rPr>
          <w:rFonts w:ascii="Arial" w:hAnsi="Arial" w:cs="Arial" w:hint="eastAsia"/>
          <w:b/>
          <w:color w:val="000000"/>
          <w:sz w:val="28"/>
          <w:szCs w:val="28"/>
        </w:rPr>
        <w:t>窄</w:t>
      </w:r>
      <w:r w:rsidR="00D90B0E" w:rsidRPr="00865B2B">
        <w:rPr>
          <w:rFonts w:ascii="Arial" w:hAnsi="Arial" w:cs="Arial" w:hint="eastAsia"/>
          <w:b/>
          <w:color w:val="000000"/>
          <w:sz w:val="28"/>
          <w:szCs w:val="28"/>
        </w:rPr>
        <w:t>，</w:t>
      </w:r>
      <w:r w:rsidR="00FF4995" w:rsidRPr="00865B2B">
        <w:rPr>
          <w:rFonts w:ascii="Arial" w:hAnsi="Arial" w:cs="Arial" w:hint="eastAsia"/>
          <w:b/>
          <w:color w:val="000000"/>
          <w:sz w:val="28"/>
          <w:szCs w:val="28"/>
        </w:rPr>
        <w:t>资产</w:t>
      </w:r>
      <w:r w:rsidR="009E244A" w:rsidRPr="00865B2B">
        <w:rPr>
          <w:rFonts w:ascii="Arial" w:hAnsi="Arial" w:cs="Arial" w:hint="eastAsia"/>
          <w:b/>
          <w:color w:val="000000"/>
          <w:sz w:val="28"/>
          <w:szCs w:val="28"/>
        </w:rPr>
        <w:t>质量</w:t>
      </w:r>
      <w:r w:rsidR="00865B2B" w:rsidRPr="00865B2B">
        <w:rPr>
          <w:rFonts w:ascii="Arial" w:hAnsi="Arial" w:cs="Arial" w:hint="eastAsia"/>
          <w:b/>
          <w:color w:val="000000"/>
          <w:sz w:val="28"/>
          <w:szCs w:val="28"/>
        </w:rPr>
        <w:t>总体稳定</w:t>
      </w:r>
    </w:p>
    <w:p w14:paraId="5C0302D5" w14:textId="6EC63DF6" w:rsidR="00BC434B" w:rsidRPr="00FF0945" w:rsidRDefault="0053640C" w:rsidP="00922FC0">
      <w:pPr>
        <w:rPr>
          <w:rFonts w:ascii="Arial" w:hAnsi="Arial" w:cs="Arial"/>
          <w:b/>
          <w:sz w:val="28"/>
          <w:szCs w:val="28"/>
        </w:rPr>
      </w:pPr>
      <w:r w:rsidRPr="00FF0945">
        <w:rPr>
          <w:rFonts w:ascii="Arial" w:hAnsi="Arial" w:cs="Arial"/>
          <w:b/>
          <w:noProof/>
          <w:sz w:val="23"/>
          <w:szCs w:val="23"/>
        </w:rPr>
        <mc:AlternateContent>
          <mc:Choice Requires="wps">
            <w:drawing>
              <wp:anchor distT="0" distB="0" distL="114300" distR="114300" simplePos="0" relativeHeight="251657728" behindDoc="1" locked="0" layoutInCell="1" allowOverlap="1" wp14:anchorId="381959B2" wp14:editId="7B2C5503">
                <wp:simplePos x="0" y="0"/>
                <wp:positionH relativeFrom="column">
                  <wp:posOffset>-48895</wp:posOffset>
                </wp:positionH>
                <wp:positionV relativeFrom="paragraph">
                  <wp:posOffset>156845</wp:posOffset>
                </wp:positionV>
                <wp:extent cx="2940050" cy="333375"/>
                <wp:effectExtent l="0" t="0" r="3175" b="0"/>
                <wp:wrapNone/>
                <wp:docPr id="616034725" name="自选图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0050" cy="333375"/>
                        </a:xfrm>
                        <a:prstGeom prst="roundRect">
                          <a:avLst>
                            <a:gd name="adj" fmla="val 16667"/>
                          </a:avLst>
                        </a:prstGeom>
                        <a:gradFill rotWithShape="0">
                          <a:gsLst>
                            <a:gs pos="0">
                              <a:srgbClr val="FF0000"/>
                            </a:gs>
                            <a:gs pos="100000">
                              <a:srgbClr val="FF0000">
                                <a:gamma/>
                                <a:tint val="20000"/>
                                <a:invGamma/>
                              </a:srgbClr>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86CAFD" id="自选图形 6" o:spid="_x0000_s1026" style="position:absolute;margin-left:-3.85pt;margin-top:12.35pt;width:231.5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hnAWQIAAKgEAAAOAAAAZHJzL2Uyb0RvYy54bWysVE1v2zAMvQ/YfxB0X21n+ViNOkWRIsWA&#10;7gPrhp0VSba1SaImKXHaXz9KdrJiwy7DfFAkUXwk3yNzdX00mhykDwpsQ6uLkhJpOQhlu4Z++bx9&#10;9YaSEJkVTIOVDX2UgV6vX764GlwtZ9CDFtITBLGhHlxD+xhdXRSB99KwcAFOWjS24A2LePRdITwb&#10;EN3oYlaWy2IAL5wHLkPA29vRSNcZv20ljx/aNshIdEMxt5hXn9ddWov1Fas7z1yv+JQG+4csDFMW&#10;g56hbllkZO/VH1BGcQ8B2njBwRTQtorLXANWU5W/VfPQMydzLUhOcGeawv+D5e8PD+6jT6kHdw/8&#10;eyAWNj2znbzxHoZeMoHhqkRUMbhQnx3SIaAr2Q3vQKC0bB8hc3BsvUmAWB05Zqofz1TLYyQcL2eX&#10;87JcoCIcba/xWy1yCFafvJ0P8U6CIWnTUA97Kz6hnjkEO9yHmPkWxDKTootvlLRGo3oHpkm1XC5X&#10;E+L0uGD1CXNSSmyV1sRD/Kpin8lOeWZjOOEH4gAJGK+D73Yb7QlGaOh2W+I3xejC6Da+rpLl7y75&#10;KTOG5e6LysYRERt6BGS1soe76QXmPcVFCbDDMFL+mTLUyhKUCyldJXekNHCmpTiJlnsyV5rCaptW&#10;C6nyJOl4k5VNYqa5CfUOxCMKi8SkwtN446YH/0TJgKPS0PBjz7ykRL+1yM1lNZ+n2cqH+WI1w4N/&#10;btk9tzDLEaqhkWLaabuJ4zzunVddj5GqLIGFG2yoVsVT541ZTW2I4zDSMI5umrfn5/zq1x/M+icA&#10;AAD//wMAUEsDBBQABgAIAAAAIQAKsAAw3gAAAAgBAAAPAAAAZHJzL2Rvd25yZXYueG1sTI/BTsMw&#10;EETvSPyDtUjcWoeQ1ijEqaqIHuAELR+wTUwcNV5HsZumfD3LCU6j1Yxm3hab2fViMmPoPGl4WCYg&#10;DNW+6ajV8HnYLZ5AhIjUYO/JaLiaAJvy9qbAvPEX+jDTPraCSyjkqMHGOORShtoah2HpB0PsffnR&#10;YeRzbGUz4oXLXS/TJFlLhx3xgsXBVNbUp/3Zachs9f56WO9evt9UhSd3nbaEUuv7u3n7DCKaOf6F&#10;4Ref0aFkpqM/UxNEr2GhFCc1pBkr+9lq9QjiqEGpFGRZyP8PlD8AAAD//wMAUEsBAi0AFAAGAAgA&#10;AAAhALaDOJL+AAAA4QEAABMAAAAAAAAAAAAAAAAAAAAAAFtDb250ZW50X1R5cGVzXS54bWxQSwEC&#10;LQAUAAYACAAAACEAOP0h/9YAAACUAQAACwAAAAAAAAAAAAAAAAAvAQAAX3JlbHMvLnJlbHNQSwEC&#10;LQAUAAYACAAAACEAPS4ZwFkCAACoBAAADgAAAAAAAAAAAAAAAAAuAgAAZHJzL2Uyb0RvYy54bWxQ&#10;SwECLQAUAAYACAAAACEACrAAMN4AAAAIAQAADwAAAAAAAAAAAAAAAACzBAAAZHJzL2Rvd25yZXYu&#10;eG1sUEsFBgAAAAAEAAQA8wAAAL4FAAAAAA==&#10;" fillcolor="red" stroked="f">
                <v:fill color2="#fcc" angle="45" focus="100%" type="gradient"/>
              </v:roundrect>
            </w:pict>
          </mc:Fallback>
        </mc:AlternateContent>
      </w:r>
    </w:p>
    <w:p w14:paraId="7A908D73" w14:textId="23CF969A" w:rsidR="00BC434B" w:rsidRPr="00FF0945" w:rsidRDefault="00BC434B">
      <w:pPr>
        <w:rPr>
          <w:rFonts w:ascii="Arial" w:hAnsi="Arial" w:cs="Arial"/>
          <w:b/>
          <w:color w:val="FF0000"/>
          <w:sz w:val="23"/>
          <w:szCs w:val="23"/>
        </w:rPr>
      </w:pPr>
      <w:r w:rsidRPr="00FF0945">
        <w:rPr>
          <w:rFonts w:ascii="Arial" w:hAnsi="Arial" w:cs="Arial"/>
          <w:b/>
          <w:sz w:val="23"/>
          <w:szCs w:val="23"/>
        </w:rPr>
        <w:t>202</w:t>
      </w:r>
      <w:r w:rsidR="005C7661">
        <w:rPr>
          <w:rFonts w:ascii="Arial" w:hAnsi="Arial" w:cs="Arial" w:hint="eastAsia"/>
          <w:b/>
          <w:sz w:val="23"/>
          <w:szCs w:val="23"/>
        </w:rPr>
        <w:t>4</w:t>
      </w:r>
      <w:r w:rsidRPr="00FF0945">
        <w:rPr>
          <w:rFonts w:ascii="Arial" w:hAnsi="Arial" w:cs="Arial"/>
          <w:b/>
          <w:sz w:val="23"/>
          <w:szCs w:val="23"/>
        </w:rPr>
        <w:t>年</w:t>
      </w:r>
      <w:r w:rsidR="00B22E74" w:rsidRPr="00FF0945">
        <w:rPr>
          <w:rFonts w:ascii="Arial" w:hAnsi="Arial" w:cs="Arial"/>
          <w:b/>
          <w:sz w:val="23"/>
          <w:szCs w:val="23"/>
        </w:rPr>
        <w:t>1</w:t>
      </w:r>
      <w:r w:rsidRPr="00FF0945">
        <w:rPr>
          <w:rFonts w:ascii="Arial" w:hAnsi="Arial" w:cs="Arial"/>
          <w:b/>
          <w:sz w:val="23"/>
          <w:szCs w:val="23"/>
        </w:rPr>
        <w:t>至</w:t>
      </w:r>
      <w:r w:rsidR="00025B92">
        <w:rPr>
          <w:rFonts w:ascii="Arial" w:hAnsi="Arial" w:cs="Arial"/>
          <w:b/>
          <w:sz w:val="23"/>
          <w:szCs w:val="23"/>
        </w:rPr>
        <w:t>9</w:t>
      </w:r>
      <w:r w:rsidRPr="00FF0945">
        <w:rPr>
          <w:rFonts w:ascii="Arial" w:hAnsi="Arial" w:cs="Arial"/>
          <w:b/>
          <w:sz w:val="23"/>
          <w:szCs w:val="23"/>
        </w:rPr>
        <w:t>月业绩摘要（单位：人民币）</w:t>
      </w:r>
    </w:p>
    <w:p w14:paraId="1D1BB095" w14:textId="01F382F7" w:rsidR="00936D7F" w:rsidRPr="003064E4" w:rsidRDefault="00936D7F">
      <w:pPr>
        <w:pBdr>
          <w:top w:val="single" w:sz="4" w:space="1" w:color="auto"/>
          <w:left w:val="single" w:sz="4" w:space="4" w:color="auto"/>
          <w:bottom w:val="single" w:sz="4" w:space="1" w:color="auto"/>
          <w:right w:val="single" w:sz="4" w:space="13" w:color="auto"/>
        </w:pBdr>
        <w:spacing w:beforeLines="50" w:before="180" w:afterLines="50" w:after="180"/>
        <w:rPr>
          <w:rFonts w:ascii="Arial" w:hAnsi="Arial" w:cs="Arial"/>
          <w:b/>
          <w:color w:val="000000"/>
          <w:sz w:val="22"/>
          <w:szCs w:val="22"/>
        </w:rPr>
      </w:pPr>
      <w:bookmarkStart w:id="0" w:name="_Hlk149155223"/>
      <w:r>
        <w:rPr>
          <w:rFonts w:ascii="Arial" w:hAnsi="Arial" w:cs="Arial" w:hint="eastAsia"/>
          <w:b/>
          <w:color w:val="000000"/>
          <w:sz w:val="22"/>
          <w:szCs w:val="22"/>
        </w:rPr>
        <w:t>营收和净利润</w:t>
      </w:r>
      <w:proofErr w:type="gramStart"/>
      <w:r>
        <w:rPr>
          <w:rFonts w:ascii="Arial" w:hAnsi="Arial" w:cs="Arial" w:hint="eastAsia"/>
          <w:b/>
          <w:color w:val="000000"/>
          <w:sz w:val="22"/>
          <w:szCs w:val="22"/>
        </w:rPr>
        <w:t>降幅收</w:t>
      </w:r>
      <w:proofErr w:type="gramEnd"/>
      <w:r>
        <w:rPr>
          <w:rFonts w:ascii="Arial" w:hAnsi="Arial" w:cs="Arial" w:hint="eastAsia"/>
          <w:b/>
          <w:color w:val="000000"/>
          <w:sz w:val="22"/>
          <w:szCs w:val="22"/>
        </w:rPr>
        <w:t>窄</w:t>
      </w:r>
      <w:r w:rsidRPr="00865B2B">
        <w:rPr>
          <w:rFonts w:ascii="Arial" w:hAnsi="Arial" w:cs="Arial" w:hint="eastAsia"/>
          <w:b/>
          <w:color w:val="000000"/>
          <w:sz w:val="22"/>
          <w:szCs w:val="22"/>
        </w:rPr>
        <w:t>，</w:t>
      </w:r>
      <w:r w:rsidRPr="00865B2B">
        <w:rPr>
          <w:rFonts w:ascii="Arial" w:hAnsi="Arial" w:cs="Arial" w:hint="eastAsia"/>
          <w:b/>
          <w:color w:val="000000"/>
          <w:sz w:val="22"/>
          <w:szCs w:val="22"/>
        </w:rPr>
        <w:t>ROAA</w:t>
      </w:r>
      <w:r w:rsidRPr="00865B2B">
        <w:rPr>
          <w:rFonts w:ascii="Arial" w:hAnsi="Arial" w:cs="Arial" w:hint="eastAsia"/>
          <w:b/>
          <w:color w:val="000000"/>
          <w:sz w:val="22"/>
          <w:szCs w:val="22"/>
        </w:rPr>
        <w:t>和</w:t>
      </w:r>
      <w:r w:rsidRPr="00865B2B">
        <w:rPr>
          <w:rFonts w:ascii="Arial" w:hAnsi="Arial" w:cs="Arial" w:hint="eastAsia"/>
          <w:b/>
          <w:color w:val="000000"/>
          <w:sz w:val="22"/>
          <w:szCs w:val="22"/>
        </w:rPr>
        <w:t>ROAE</w:t>
      </w:r>
      <w:r w:rsidRPr="00865B2B">
        <w:rPr>
          <w:rFonts w:ascii="Arial" w:hAnsi="Arial" w:cs="Arial" w:hint="eastAsia"/>
          <w:b/>
          <w:color w:val="000000"/>
          <w:sz w:val="22"/>
          <w:szCs w:val="22"/>
        </w:rPr>
        <w:t>维持较高水平</w:t>
      </w:r>
    </w:p>
    <w:bookmarkEnd w:id="0"/>
    <w:p w14:paraId="1A3F5F12" w14:textId="44BBA669" w:rsidR="006B7542" w:rsidRPr="00935014" w:rsidRDefault="006B7542" w:rsidP="006B7542">
      <w:pPr>
        <w:numPr>
          <w:ilvl w:val="0"/>
          <w:numId w:val="2"/>
        </w:numPr>
        <w:pBdr>
          <w:top w:val="single" w:sz="4" w:space="1" w:color="auto"/>
          <w:left w:val="single" w:sz="4" w:space="4" w:color="auto"/>
          <w:bottom w:val="single" w:sz="4" w:space="1" w:color="auto"/>
          <w:right w:val="single" w:sz="4" w:space="13" w:color="auto"/>
        </w:pBdr>
        <w:spacing w:beforeLines="50" w:before="180" w:afterLines="50" w:after="180"/>
        <w:rPr>
          <w:rFonts w:ascii="Arial" w:hAnsi="Arial" w:cs="Arial"/>
          <w:color w:val="000000"/>
          <w:sz w:val="22"/>
          <w:szCs w:val="22"/>
        </w:rPr>
      </w:pPr>
      <w:r w:rsidRPr="00935014">
        <w:rPr>
          <w:rFonts w:ascii="Arial" w:hAnsi="Arial" w:cs="Arial" w:hint="eastAsia"/>
          <w:color w:val="000000"/>
          <w:sz w:val="22"/>
          <w:szCs w:val="22"/>
        </w:rPr>
        <w:t>营业收入</w:t>
      </w:r>
      <w:r w:rsidR="005C7661" w:rsidRPr="00935014">
        <w:rPr>
          <w:rFonts w:ascii="Arial" w:hAnsi="Arial" w:cs="Arial"/>
          <w:color w:val="000000"/>
          <w:sz w:val="22"/>
          <w:szCs w:val="22"/>
        </w:rPr>
        <w:t>2,527.09</w:t>
      </w:r>
      <w:r w:rsidR="00025B92" w:rsidRPr="00935014">
        <w:rPr>
          <w:rFonts w:ascii="Arial" w:hAnsi="Arial" w:cs="Arial" w:hint="eastAsia"/>
          <w:color w:val="000000"/>
          <w:sz w:val="22"/>
          <w:szCs w:val="22"/>
        </w:rPr>
        <w:t>亿元，同比下降</w:t>
      </w:r>
      <w:r w:rsidR="005C7661" w:rsidRPr="00935014">
        <w:rPr>
          <w:rFonts w:ascii="Arial" w:hAnsi="Arial" w:cs="Arial"/>
          <w:color w:val="000000"/>
          <w:sz w:val="22"/>
          <w:szCs w:val="22"/>
        </w:rPr>
        <w:t>2.91</w:t>
      </w:r>
      <w:r w:rsidR="00025B92" w:rsidRPr="00935014">
        <w:rPr>
          <w:rFonts w:ascii="Arial" w:hAnsi="Arial" w:cs="Arial" w:hint="eastAsia"/>
          <w:color w:val="000000"/>
          <w:sz w:val="22"/>
          <w:szCs w:val="22"/>
        </w:rPr>
        <w:t>%</w:t>
      </w:r>
      <w:r w:rsidR="00936D7F">
        <w:rPr>
          <w:rFonts w:ascii="Arial" w:hAnsi="Arial" w:cs="Arial" w:hint="eastAsia"/>
          <w:color w:val="000000"/>
          <w:sz w:val="22"/>
          <w:szCs w:val="22"/>
        </w:rPr>
        <w:t>，</w:t>
      </w:r>
      <w:bookmarkStart w:id="1" w:name="_Hlk181008873"/>
      <w:r w:rsidR="00936D7F">
        <w:rPr>
          <w:rFonts w:ascii="Arial" w:hAnsi="Arial" w:cs="Arial" w:hint="eastAsia"/>
          <w:color w:val="000000"/>
          <w:sz w:val="22"/>
          <w:szCs w:val="22"/>
        </w:rPr>
        <w:t>较上半年收窄</w:t>
      </w:r>
      <w:bookmarkEnd w:id="1"/>
      <w:r w:rsidR="00936D7F">
        <w:rPr>
          <w:rFonts w:ascii="Arial" w:hAnsi="Arial" w:cs="Arial" w:hint="eastAsia"/>
          <w:color w:val="000000"/>
          <w:sz w:val="22"/>
          <w:szCs w:val="22"/>
        </w:rPr>
        <w:t>0.18</w:t>
      </w:r>
      <w:r w:rsidR="00936D7F">
        <w:rPr>
          <w:rFonts w:ascii="Arial" w:hAnsi="Arial" w:cs="Arial" w:hint="eastAsia"/>
          <w:color w:val="000000"/>
          <w:sz w:val="22"/>
          <w:szCs w:val="22"/>
        </w:rPr>
        <w:t>个百分点</w:t>
      </w:r>
      <w:r w:rsidRPr="00935014">
        <w:rPr>
          <w:rFonts w:ascii="Arial" w:hAnsi="Arial" w:cs="Arial"/>
          <w:color w:val="000000"/>
          <w:sz w:val="22"/>
          <w:szCs w:val="22"/>
        </w:rPr>
        <w:t>（</w:t>
      </w:r>
      <w:r w:rsidR="00F64055" w:rsidRPr="00935014">
        <w:rPr>
          <w:rFonts w:ascii="Arial" w:hAnsi="Arial" w:cs="Arial"/>
          <w:color w:val="000000"/>
          <w:sz w:val="22"/>
          <w:szCs w:val="22"/>
        </w:rPr>
        <w:t>H</w:t>
      </w:r>
      <w:r w:rsidRPr="00935014">
        <w:rPr>
          <w:rFonts w:ascii="Arial" w:hAnsi="Arial" w:cs="Arial"/>
          <w:color w:val="000000"/>
          <w:sz w:val="22"/>
          <w:szCs w:val="22"/>
        </w:rPr>
        <w:t>股：</w:t>
      </w:r>
      <w:r w:rsidRPr="00935014">
        <w:rPr>
          <w:rFonts w:ascii="Arial" w:hAnsi="Arial" w:cs="Arial" w:hint="eastAsia"/>
          <w:color w:val="000000"/>
          <w:sz w:val="22"/>
          <w:szCs w:val="22"/>
        </w:rPr>
        <w:t>营业</w:t>
      </w:r>
      <w:r w:rsidR="00A859F3" w:rsidRPr="00935014">
        <w:rPr>
          <w:rFonts w:ascii="Arial" w:hAnsi="Arial" w:cs="Arial" w:hint="eastAsia"/>
          <w:color w:val="000000"/>
          <w:sz w:val="22"/>
          <w:szCs w:val="22"/>
        </w:rPr>
        <w:t>净</w:t>
      </w:r>
      <w:r w:rsidRPr="00935014">
        <w:rPr>
          <w:rFonts w:ascii="Arial" w:hAnsi="Arial" w:cs="Arial" w:hint="eastAsia"/>
          <w:color w:val="000000"/>
          <w:sz w:val="22"/>
          <w:szCs w:val="22"/>
        </w:rPr>
        <w:t>收入</w:t>
      </w:r>
      <w:r w:rsidR="00935014" w:rsidRPr="00935014">
        <w:rPr>
          <w:rFonts w:ascii="Arial" w:hAnsi="Arial" w:cs="Arial"/>
          <w:bCs/>
          <w:color w:val="000000"/>
          <w:sz w:val="22"/>
          <w:szCs w:val="22"/>
        </w:rPr>
        <w:t>2,526.03</w:t>
      </w:r>
      <w:r w:rsidR="00B33858" w:rsidRPr="00935014">
        <w:rPr>
          <w:rFonts w:ascii="Arial" w:hAnsi="Arial" w:cs="Arial" w:hint="eastAsia"/>
          <w:bCs/>
          <w:color w:val="000000"/>
          <w:sz w:val="22"/>
          <w:szCs w:val="22"/>
        </w:rPr>
        <w:t>亿元，同比下降</w:t>
      </w:r>
      <w:r w:rsidR="00935014" w:rsidRPr="00935014">
        <w:rPr>
          <w:rFonts w:ascii="Arial" w:hAnsi="Arial" w:cs="Arial"/>
          <w:bCs/>
          <w:color w:val="000000"/>
          <w:sz w:val="22"/>
          <w:szCs w:val="22"/>
        </w:rPr>
        <w:t>2.93</w:t>
      </w:r>
      <w:r w:rsidR="00B33858" w:rsidRPr="00935014">
        <w:rPr>
          <w:rFonts w:ascii="Arial" w:hAnsi="Arial" w:cs="Arial" w:hint="eastAsia"/>
          <w:bCs/>
          <w:color w:val="000000"/>
          <w:sz w:val="22"/>
          <w:szCs w:val="22"/>
        </w:rPr>
        <w:t>%</w:t>
      </w:r>
      <w:r w:rsidR="00936D7F">
        <w:rPr>
          <w:rFonts w:ascii="Arial" w:hAnsi="Arial" w:cs="Arial" w:hint="eastAsia"/>
          <w:bCs/>
          <w:color w:val="000000"/>
          <w:sz w:val="22"/>
          <w:szCs w:val="22"/>
        </w:rPr>
        <w:t>，</w:t>
      </w:r>
      <w:r w:rsidR="00936D7F" w:rsidRPr="00936D7F">
        <w:rPr>
          <w:rFonts w:ascii="Arial" w:hAnsi="Arial" w:cs="Arial" w:hint="eastAsia"/>
          <w:bCs/>
          <w:color w:val="000000"/>
          <w:sz w:val="22"/>
          <w:szCs w:val="22"/>
        </w:rPr>
        <w:t>较上半年收窄</w:t>
      </w:r>
      <w:r w:rsidR="00936D7F">
        <w:rPr>
          <w:rFonts w:ascii="Arial" w:hAnsi="Arial" w:cs="Arial" w:hint="eastAsia"/>
          <w:color w:val="000000"/>
          <w:sz w:val="22"/>
          <w:szCs w:val="22"/>
        </w:rPr>
        <w:t>0.18</w:t>
      </w:r>
      <w:r w:rsidR="00936D7F">
        <w:rPr>
          <w:rFonts w:ascii="Arial" w:hAnsi="Arial" w:cs="Arial" w:hint="eastAsia"/>
          <w:color w:val="000000"/>
          <w:sz w:val="22"/>
          <w:szCs w:val="22"/>
        </w:rPr>
        <w:t>个百分点</w:t>
      </w:r>
      <w:r w:rsidRPr="00935014">
        <w:rPr>
          <w:rFonts w:ascii="Arial" w:hAnsi="Arial" w:cs="Arial"/>
          <w:color w:val="000000"/>
          <w:sz w:val="22"/>
          <w:szCs w:val="22"/>
        </w:rPr>
        <w:t>）；</w:t>
      </w:r>
    </w:p>
    <w:p w14:paraId="0C2EFE39" w14:textId="38AFC7A6" w:rsidR="006B7542" w:rsidRPr="00935014" w:rsidRDefault="006B7542" w:rsidP="006B7542">
      <w:pPr>
        <w:numPr>
          <w:ilvl w:val="0"/>
          <w:numId w:val="2"/>
        </w:numPr>
        <w:pBdr>
          <w:top w:val="single" w:sz="4" w:space="1" w:color="auto"/>
          <w:left w:val="single" w:sz="4" w:space="4" w:color="auto"/>
          <w:bottom w:val="single" w:sz="4" w:space="1" w:color="auto"/>
          <w:right w:val="single" w:sz="4" w:space="13" w:color="auto"/>
        </w:pBdr>
        <w:spacing w:beforeLines="50" w:before="180" w:afterLines="50" w:after="180"/>
        <w:rPr>
          <w:rFonts w:ascii="Arial" w:hAnsi="Arial" w:cs="Arial"/>
          <w:color w:val="000000"/>
          <w:sz w:val="22"/>
          <w:szCs w:val="22"/>
        </w:rPr>
      </w:pPr>
      <w:r w:rsidRPr="00935014">
        <w:rPr>
          <w:rFonts w:ascii="Arial" w:hAnsi="Arial" w:cs="Arial" w:hint="eastAsia"/>
          <w:color w:val="000000"/>
          <w:sz w:val="22"/>
          <w:szCs w:val="22"/>
        </w:rPr>
        <w:t>归属于本行股东的净利润</w:t>
      </w:r>
      <w:r w:rsidR="005C7661" w:rsidRPr="00935014">
        <w:rPr>
          <w:rFonts w:ascii="Arial" w:hAnsi="Arial" w:cs="Arial"/>
          <w:color w:val="000000"/>
          <w:sz w:val="22"/>
          <w:szCs w:val="22"/>
        </w:rPr>
        <w:t>1,131.84</w:t>
      </w:r>
      <w:r w:rsidR="00025B92" w:rsidRPr="00935014">
        <w:rPr>
          <w:rFonts w:ascii="Arial" w:hAnsi="Arial" w:cs="Arial" w:hint="eastAsia"/>
          <w:color w:val="000000"/>
          <w:sz w:val="22"/>
          <w:szCs w:val="22"/>
        </w:rPr>
        <w:t>亿元，同比</w:t>
      </w:r>
      <w:r w:rsidR="005C7661" w:rsidRPr="00935014">
        <w:rPr>
          <w:rFonts w:ascii="Arial" w:hAnsi="Arial" w:cs="Arial" w:hint="eastAsia"/>
          <w:color w:val="000000"/>
          <w:sz w:val="22"/>
          <w:szCs w:val="22"/>
        </w:rPr>
        <w:t>下降</w:t>
      </w:r>
      <w:r w:rsidR="005C7661" w:rsidRPr="00935014">
        <w:rPr>
          <w:rFonts w:ascii="Arial" w:hAnsi="Arial" w:cs="Arial"/>
          <w:color w:val="000000"/>
          <w:sz w:val="22"/>
          <w:szCs w:val="22"/>
        </w:rPr>
        <w:t>0.62</w:t>
      </w:r>
      <w:r w:rsidR="00025B92" w:rsidRPr="00935014">
        <w:rPr>
          <w:rFonts w:ascii="Arial" w:hAnsi="Arial" w:cs="Arial" w:hint="eastAsia"/>
          <w:color w:val="000000"/>
          <w:sz w:val="22"/>
          <w:szCs w:val="22"/>
        </w:rPr>
        <w:t>%</w:t>
      </w:r>
      <w:r w:rsidR="00936D7F">
        <w:rPr>
          <w:rFonts w:ascii="Arial" w:hAnsi="Arial" w:cs="Arial" w:hint="eastAsia"/>
          <w:color w:val="000000"/>
          <w:sz w:val="22"/>
          <w:szCs w:val="22"/>
        </w:rPr>
        <w:t>，</w:t>
      </w:r>
      <w:r w:rsidR="00936D7F" w:rsidRPr="00936D7F">
        <w:rPr>
          <w:rFonts w:ascii="Arial" w:hAnsi="Arial" w:cs="Arial" w:hint="eastAsia"/>
          <w:color w:val="000000"/>
          <w:sz w:val="22"/>
          <w:szCs w:val="22"/>
        </w:rPr>
        <w:t>较上半年收窄</w:t>
      </w:r>
      <w:r w:rsidR="00707940">
        <w:rPr>
          <w:rFonts w:ascii="Arial" w:hAnsi="Arial" w:cs="Arial" w:hint="eastAsia"/>
          <w:color w:val="000000"/>
          <w:sz w:val="22"/>
          <w:szCs w:val="22"/>
        </w:rPr>
        <w:t>0.71</w:t>
      </w:r>
      <w:r w:rsidR="00707940">
        <w:rPr>
          <w:rFonts w:ascii="Arial" w:hAnsi="Arial" w:cs="Arial" w:hint="eastAsia"/>
          <w:color w:val="000000"/>
          <w:sz w:val="22"/>
          <w:szCs w:val="22"/>
        </w:rPr>
        <w:t>个百分点</w:t>
      </w:r>
      <w:r w:rsidRPr="00935014">
        <w:rPr>
          <w:rFonts w:ascii="Arial" w:hAnsi="Arial" w:cs="Arial"/>
          <w:color w:val="000000"/>
          <w:sz w:val="22"/>
          <w:szCs w:val="22"/>
        </w:rPr>
        <w:t>；</w:t>
      </w:r>
    </w:p>
    <w:p w14:paraId="5E848412" w14:textId="201536A2" w:rsidR="006B7542" w:rsidRPr="00935014" w:rsidRDefault="006B7542" w:rsidP="006B7542">
      <w:pPr>
        <w:numPr>
          <w:ilvl w:val="0"/>
          <w:numId w:val="2"/>
        </w:numPr>
        <w:pBdr>
          <w:top w:val="single" w:sz="4" w:space="1" w:color="auto"/>
          <w:left w:val="single" w:sz="4" w:space="4" w:color="auto"/>
          <w:bottom w:val="single" w:sz="4" w:space="1" w:color="auto"/>
          <w:right w:val="single" w:sz="4" w:space="13" w:color="auto"/>
        </w:pBdr>
        <w:spacing w:beforeLines="50" w:before="180" w:afterLines="50" w:after="180"/>
        <w:rPr>
          <w:rFonts w:ascii="Arial" w:hAnsi="Arial" w:cs="Arial"/>
          <w:color w:val="000000"/>
          <w:sz w:val="22"/>
          <w:szCs w:val="22"/>
        </w:rPr>
      </w:pPr>
      <w:r w:rsidRPr="00935014">
        <w:rPr>
          <w:rFonts w:ascii="Arial" w:hAnsi="Arial" w:cs="Arial" w:hint="eastAsia"/>
          <w:color w:val="000000"/>
          <w:sz w:val="22"/>
          <w:szCs w:val="22"/>
        </w:rPr>
        <w:t>ROAA</w:t>
      </w:r>
      <w:r w:rsidRPr="00935014">
        <w:rPr>
          <w:rFonts w:ascii="Arial" w:hAnsi="Arial" w:cs="Arial" w:hint="eastAsia"/>
          <w:color w:val="000000"/>
          <w:sz w:val="22"/>
          <w:szCs w:val="22"/>
        </w:rPr>
        <w:t>和</w:t>
      </w:r>
      <w:r w:rsidRPr="00935014">
        <w:rPr>
          <w:rFonts w:ascii="Arial" w:hAnsi="Arial" w:cs="Arial" w:hint="eastAsia"/>
          <w:color w:val="000000"/>
          <w:sz w:val="22"/>
          <w:szCs w:val="22"/>
        </w:rPr>
        <w:t>ROAE</w:t>
      </w:r>
      <w:r w:rsidR="003064E4" w:rsidRPr="00935014">
        <w:rPr>
          <w:rFonts w:ascii="Arial" w:hAnsi="Arial" w:cs="Arial" w:hint="eastAsia"/>
          <w:color w:val="000000"/>
          <w:sz w:val="22"/>
          <w:szCs w:val="22"/>
        </w:rPr>
        <w:t>分别为</w:t>
      </w:r>
      <w:bookmarkStart w:id="2" w:name="_Hlk149155565"/>
      <w:r w:rsidR="005C7661" w:rsidRPr="00935014">
        <w:rPr>
          <w:rFonts w:ascii="Arial" w:hAnsi="Arial" w:cs="Arial"/>
          <w:color w:val="000000"/>
          <w:sz w:val="22"/>
          <w:szCs w:val="22"/>
        </w:rPr>
        <w:t>1.33%</w:t>
      </w:r>
      <w:r w:rsidR="00025B92" w:rsidRPr="00935014">
        <w:rPr>
          <w:rFonts w:ascii="Arial" w:hAnsi="Arial" w:cs="Arial" w:hint="eastAsia"/>
          <w:color w:val="000000"/>
          <w:sz w:val="22"/>
          <w:szCs w:val="22"/>
        </w:rPr>
        <w:t>和</w:t>
      </w:r>
      <w:bookmarkEnd w:id="2"/>
      <w:r w:rsidR="005C7661" w:rsidRPr="00935014">
        <w:rPr>
          <w:rFonts w:ascii="Arial" w:hAnsi="Arial" w:cs="Arial"/>
          <w:color w:val="000000"/>
          <w:sz w:val="22"/>
          <w:szCs w:val="22"/>
        </w:rPr>
        <w:t>15.38%</w:t>
      </w:r>
      <w:r w:rsidR="00025B92" w:rsidRPr="00935014">
        <w:rPr>
          <w:rFonts w:ascii="Arial" w:hAnsi="Arial" w:cs="Arial" w:hint="eastAsia"/>
          <w:color w:val="000000"/>
          <w:sz w:val="22"/>
          <w:szCs w:val="22"/>
        </w:rPr>
        <w:t>，</w:t>
      </w:r>
      <w:r w:rsidR="008159A2">
        <w:rPr>
          <w:rFonts w:ascii="Arial" w:hAnsi="Arial" w:cs="Arial" w:hint="eastAsia"/>
          <w:color w:val="000000"/>
          <w:sz w:val="22"/>
          <w:szCs w:val="22"/>
        </w:rPr>
        <w:t>保持较高水平</w:t>
      </w:r>
      <w:r w:rsidR="00936D7F">
        <w:rPr>
          <w:rFonts w:ascii="Arial" w:hAnsi="Arial" w:cs="Arial" w:hint="eastAsia"/>
          <w:color w:val="000000"/>
          <w:sz w:val="22"/>
          <w:szCs w:val="22"/>
        </w:rPr>
        <w:t>；</w:t>
      </w:r>
    </w:p>
    <w:p w14:paraId="1E8D8BDC" w14:textId="620B97E7" w:rsidR="00936D7F" w:rsidRDefault="00936D7F" w:rsidP="00936D7F">
      <w:pPr>
        <w:numPr>
          <w:ilvl w:val="0"/>
          <w:numId w:val="2"/>
        </w:numPr>
        <w:pBdr>
          <w:top w:val="single" w:sz="4" w:space="1" w:color="auto"/>
          <w:left w:val="single" w:sz="4" w:space="4" w:color="auto"/>
          <w:bottom w:val="single" w:sz="4" w:space="1" w:color="auto"/>
          <w:right w:val="single" w:sz="4" w:space="13" w:color="auto"/>
        </w:pBdr>
        <w:spacing w:beforeLines="50" w:before="180" w:afterLines="50" w:after="180"/>
        <w:rPr>
          <w:rFonts w:ascii="Arial" w:hAnsi="Arial" w:cs="Arial"/>
          <w:kern w:val="0"/>
          <w:sz w:val="22"/>
          <w:szCs w:val="21"/>
        </w:rPr>
      </w:pPr>
      <w:bookmarkStart w:id="3" w:name="_Hlk149155607"/>
      <w:r w:rsidRPr="008159A2">
        <w:rPr>
          <w:rFonts w:ascii="Arial" w:hAnsi="Arial" w:cs="Arial" w:hint="eastAsia"/>
          <w:kern w:val="0"/>
          <w:sz w:val="22"/>
          <w:szCs w:val="21"/>
        </w:rPr>
        <w:t>高级法</w:t>
      </w:r>
      <w:proofErr w:type="gramStart"/>
      <w:r w:rsidRPr="008159A2">
        <w:rPr>
          <w:rFonts w:ascii="Arial" w:hAnsi="Arial" w:cs="Arial" w:hint="eastAsia"/>
          <w:kern w:val="0"/>
          <w:sz w:val="22"/>
          <w:szCs w:val="21"/>
        </w:rPr>
        <w:t>下核心</w:t>
      </w:r>
      <w:proofErr w:type="gramEnd"/>
      <w:r w:rsidRPr="008159A2">
        <w:rPr>
          <w:rFonts w:ascii="Arial" w:hAnsi="Arial" w:cs="Arial" w:hint="eastAsia"/>
          <w:kern w:val="0"/>
          <w:sz w:val="22"/>
          <w:szCs w:val="21"/>
        </w:rPr>
        <w:t>一级资本充足率</w:t>
      </w:r>
      <w:r w:rsidRPr="008159A2">
        <w:rPr>
          <w:rFonts w:ascii="Arial" w:hAnsi="Arial" w:cs="Arial" w:hint="eastAsia"/>
          <w:kern w:val="0"/>
          <w:sz w:val="22"/>
          <w:szCs w:val="21"/>
        </w:rPr>
        <w:t>14.73%</w:t>
      </w:r>
      <w:r w:rsidRPr="008159A2">
        <w:rPr>
          <w:rFonts w:ascii="Arial" w:hAnsi="Arial" w:cs="Arial" w:hint="eastAsia"/>
          <w:kern w:val="0"/>
          <w:sz w:val="22"/>
          <w:szCs w:val="21"/>
        </w:rPr>
        <w:t>，一级资本充足率</w:t>
      </w:r>
      <w:r w:rsidRPr="008159A2">
        <w:rPr>
          <w:rFonts w:ascii="Arial" w:hAnsi="Arial" w:cs="Arial" w:hint="eastAsia"/>
          <w:kern w:val="0"/>
          <w:sz w:val="22"/>
          <w:szCs w:val="21"/>
        </w:rPr>
        <w:t>16.99%</w:t>
      </w:r>
      <w:r w:rsidRPr="008159A2">
        <w:rPr>
          <w:rFonts w:ascii="Arial" w:hAnsi="Arial" w:cs="Arial" w:hint="eastAsia"/>
          <w:kern w:val="0"/>
          <w:sz w:val="22"/>
          <w:szCs w:val="21"/>
        </w:rPr>
        <w:t>，资本充足率</w:t>
      </w:r>
      <w:r w:rsidRPr="008159A2">
        <w:rPr>
          <w:rFonts w:ascii="Arial" w:hAnsi="Arial" w:cs="Arial" w:hint="eastAsia"/>
          <w:kern w:val="0"/>
          <w:sz w:val="22"/>
          <w:szCs w:val="21"/>
        </w:rPr>
        <w:t>18.67%</w:t>
      </w:r>
      <w:r w:rsidRPr="008159A2">
        <w:rPr>
          <w:rFonts w:ascii="Arial" w:hAnsi="Arial" w:cs="Arial" w:hint="eastAsia"/>
          <w:kern w:val="0"/>
          <w:sz w:val="22"/>
          <w:szCs w:val="21"/>
        </w:rPr>
        <w:t>，较上年末分别上升</w:t>
      </w:r>
      <w:r w:rsidRPr="008159A2">
        <w:rPr>
          <w:rFonts w:ascii="Arial" w:hAnsi="Arial" w:cs="Arial" w:hint="eastAsia"/>
          <w:kern w:val="0"/>
          <w:sz w:val="22"/>
          <w:szCs w:val="21"/>
        </w:rPr>
        <w:t>1.00</w:t>
      </w:r>
      <w:r w:rsidRPr="008159A2">
        <w:rPr>
          <w:rFonts w:ascii="Arial" w:hAnsi="Arial" w:cs="Arial" w:hint="eastAsia"/>
          <w:kern w:val="0"/>
          <w:sz w:val="22"/>
          <w:szCs w:val="21"/>
        </w:rPr>
        <w:t>、</w:t>
      </w:r>
      <w:r w:rsidRPr="008159A2">
        <w:rPr>
          <w:rFonts w:ascii="Arial" w:hAnsi="Arial" w:cs="Arial" w:hint="eastAsia"/>
          <w:kern w:val="0"/>
          <w:sz w:val="22"/>
          <w:szCs w:val="21"/>
        </w:rPr>
        <w:t>0.98</w:t>
      </w:r>
      <w:r w:rsidRPr="008159A2">
        <w:rPr>
          <w:rFonts w:ascii="Arial" w:hAnsi="Arial" w:cs="Arial" w:hint="eastAsia"/>
          <w:kern w:val="0"/>
          <w:sz w:val="22"/>
          <w:szCs w:val="21"/>
        </w:rPr>
        <w:t>和</w:t>
      </w:r>
      <w:r w:rsidRPr="008159A2">
        <w:rPr>
          <w:rFonts w:ascii="Arial" w:hAnsi="Arial" w:cs="Arial" w:hint="eastAsia"/>
          <w:kern w:val="0"/>
          <w:sz w:val="22"/>
          <w:szCs w:val="21"/>
        </w:rPr>
        <w:t>0.79</w:t>
      </w:r>
      <w:r w:rsidRPr="008159A2">
        <w:rPr>
          <w:rFonts w:ascii="Arial" w:hAnsi="Arial" w:cs="Arial" w:hint="eastAsia"/>
          <w:kern w:val="0"/>
          <w:sz w:val="22"/>
          <w:szCs w:val="21"/>
        </w:rPr>
        <w:t>个百分点</w:t>
      </w:r>
      <w:r>
        <w:rPr>
          <w:rFonts w:ascii="Arial" w:hAnsi="Arial" w:cs="Arial" w:hint="eastAsia"/>
          <w:kern w:val="0"/>
          <w:sz w:val="22"/>
          <w:szCs w:val="21"/>
        </w:rPr>
        <w:t>；</w:t>
      </w:r>
      <w:r w:rsidRPr="008159A2">
        <w:rPr>
          <w:rFonts w:ascii="Arial" w:hAnsi="Arial" w:cs="Arial" w:hint="eastAsia"/>
          <w:kern w:val="0"/>
          <w:sz w:val="22"/>
          <w:szCs w:val="21"/>
        </w:rPr>
        <w:t>权重法</w:t>
      </w:r>
      <w:proofErr w:type="gramStart"/>
      <w:r w:rsidRPr="008159A2">
        <w:rPr>
          <w:rFonts w:ascii="Arial" w:hAnsi="Arial" w:cs="Arial" w:hint="eastAsia"/>
          <w:kern w:val="0"/>
          <w:sz w:val="22"/>
          <w:szCs w:val="21"/>
        </w:rPr>
        <w:t>下核心</w:t>
      </w:r>
      <w:proofErr w:type="gramEnd"/>
      <w:r w:rsidRPr="008159A2">
        <w:rPr>
          <w:rFonts w:ascii="Arial" w:hAnsi="Arial" w:cs="Arial" w:hint="eastAsia"/>
          <w:kern w:val="0"/>
          <w:sz w:val="22"/>
          <w:szCs w:val="21"/>
        </w:rPr>
        <w:t>一级资本充足率</w:t>
      </w:r>
      <w:r w:rsidRPr="008159A2">
        <w:rPr>
          <w:rFonts w:ascii="Arial" w:hAnsi="Arial" w:cs="Arial" w:hint="eastAsia"/>
          <w:kern w:val="0"/>
          <w:sz w:val="22"/>
          <w:szCs w:val="21"/>
        </w:rPr>
        <w:t>12.34%</w:t>
      </w:r>
      <w:r w:rsidRPr="008159A2">
        <w:rPr>
          <w:rFonts w:ascii="Arial" w:hAnsi="Arial" w:cs="Arial" w:hint="eastAsia"/>
          <w:kern w:val="0"/>
          <w:sz w:val="22"/>
          <w:szCs w:val="21"/>
        </w:rPr>
        <w:t>，一级资本充足率</w:t>
      </w:r>
      <w:r w:rsidRPr="008159A2">
        <w:rPr>
          <w:rFonts w:ascii="Arial" w:hAnsi="Arial" w:cs="Arial" w:hint="eastAsia"/>
          <w:kern w:val="0"/>
          <w:sz w:val="22"/>
          <w:szCs w:val="21"/>
        </w:rPr>
        <w:t>14.24%</w:t>
      </w:r>
      <w:r w:rsidRPr="008159A2">
        <w:rPr>
          <w:rFonts w:ascii="Arial" w:hAnsi="Arial" w:cs="Arial" w:hint="eastAsia"/>
          <w:kern w:val="0"/>
          <w:sz w:val="22"/>
          <w:szCs w:val="21"/>
        </w:rPr>
        <w:t>，资本充足率</w:t>
      </w:r>
      <w:r w:rsidRPr="008159A2">
        <w:rPr>
          <w:rFonts w:ascii="Arial" w:hAnsi="Arial" w:cs="Arial" w:hint="eastAsia"/>
          <w:kern w:val="0"/>
          <w:sz w:val="22"/>
          <w:szCs w:val="21"/>
        </w:rPr>
        <w:t>15.33%</w:t>
      </w:r>
      <w:r w:rsidRPr="008159A2">
        <w:rPr>
          <w:rFonts w:ascii="Arial" w:hAnsi="Arial" w:cs="Arial" w:hint="eastAsia"/>
          <w:kern w:val="0"/>
          <w:sz w:val="22"/>
          <w:szCs w:val="21"/>
        </w:rPr>
        <w:t>，较上年末分别上升</w:t>
      </w:r>
      <w:r w:rsidRPr="008159A2">
        <w:rPr>
          <w:rFonts w:ascii="Arial" w:hAnsi="Arial" w:cs="Arial" w:hint="eastAsia"/>
          <w:kern w:val="0"/>
          <w:sz w:val="22"/>
          <w:szCs w:val="21"/>
        </w:rPr>
        <w:t>0.48</w:t>
      </w:r>
      <w:r w:rsidRPr="008159A2">
        <w:rPr>
          <w:rFonts w:ascii="Arial" w:hAnsi="Arial" w:cs="Arial" w:hint="eastAsia"/>
          <w:kern w:val="0"/>
          <w:sz w:val="22"/>
          <w:szCs w:val="21"/>
        </w:rPr>
        <w:t>、</w:t>
      </w:r>
      <w:r w:rsidRPr="008159A2">
        <w:rPr>
          <w:rFonts w:ascii="Arial" w:hAnsi="Arial" w:cs="Arial" w:hint="eastAsia"/>
          <w:kern w:val="0"/>
          <w:sz w:val="22"/>
          <w:szCs w:val="21"/>
        </w:rPr>
        <w:t>0.42</w:t>
      </w:r>
      <w:r w:rsidRPr="008159A2">
        <w:rPr>
          <w:rFonts w:ascii="Arial" w:hAnsi="Arial" w:cs="Arial" w:hint="eastAsia"/>
          <w:kern w:val="0"/>
          <w:sz w:val="22"/>
          <w:szCs w:val="21"/>
        </w:rPr>
        <w:t>和</w:t>
      </w:r>
      <w:r w:rsidRPr="008159A2">
        <w:rPr>
          <w:rFonts w:ascii="Arial" w:hAnsi="Arial" w:cs="Arial" w:hint="eastAsia"/>
          <w:kern w:val="0"/>
          <w:sz w:val="22"/>
          <w:szCs w:val="21"/>
        </w:rPr>
        <w:t>0.37</w:t>
      </w:r>
      <w:r w:rsidRPr="008159A2">
        <w:rPr>
          <w:rFonts w:ascii="Arial" w:hAnsi="Arial" w:cs="Arial" w:hint="eastAsia"/>
          <w:kern w:val="0"/>
          <w:sz w:val="22"/>
          <w:szCs w:val="21"/>
        </w:rPr>
        <w:t>个百分点</w:t>
      </w:r>
      <w:r w:rsidR="00707940">
        <w:rPr>
          <w:rFonts w:ascii="Arial" w:hAnsi="Arial" w:cs="Arial" w:hint="eastAsia"/>
          <w:kern w:val="0"/>
          <w:sz w:val="22"/>
          <w:szCs w:val="21"/>
        </w:rPr>
        <w:t>；</w:t>
      </w:r>
    </w:p>
    <w:p w14:paraId="428D734C" w14:textId="121A10CC" w:rsidR="00707940" w:rsidRPr="008F4A22" w:rsidRDefault="00707940" w:rsidP="00936D7F">
      <w:pPr>
        <w:numPr>
          <w:ilvl w:val="0"/>
          <w:numId w:val="2"/>
        </w:numPr>
        <w:pBdr>
          <w:top w:val="single" w:sz="4" w:space="1" w:color="auto"/>
          <w:left w:val="single" w:sz="4" w:space="4" w:color="auto"/>
          <w:bottom w:val="single" w:sz="4" w:space="1" w:color="auto"/>
          <w:right w:val="single" w:sz="4" w:space="13" w:color="auto"/>
        </w:pBdr>
        <w:spacing w:beforeLines="50" w:before="180" w:afterLines="50" w:after="180"/>
        <w:rPr>
          <w:rFonts w:ascii="Arial" w:hAnsi="Arial" w:cs="Arial"/>
          <w:kern w:val="0"/>
          <w:sz w:val="22"/>
          <w:szCs w:val="21"/>
        </w:rPr>
      </w:pPr>
      <w:r>
        <w:rPr>
          <w:rFonts w:ascii="Arial" w:hAnsi="Arial" w:cs="Arial" w:hint="eastAsia"/>
          <w:kern w:val="0"/>
          <w:sz w:val="22"/>
          <w:szCs w:val="21"/>
        </w:rPr>
        <w:t>成本收入比</w:t>
      </w:r>
      <w:r w:rsidRPr="00707940">
        <w:rPr>
          <w:rFonts w:ascii="Arial" w:hAnsi="Arial" w:cs="Arial" w:hint="eastAsia"/>
          <w:kern w:val="0"/>
          <w:sz w:val="22"/>
          <w:szCs w:val="21"/>
        </w:rPr>
        <w:t>29.58%</w:t>
      </w:r>
      <w:r w:rsidRPr="00707940">
        <w:rPr>
          <w:rFonts w:ascii="Arial" w:hAnsi="Arial" w:cs="Arial" w:hint="eastAsia"/>
          <w:kern w:val="0"/>
          <w:sz w:val="22"/>
          <w:szCs w:val="21"/>
        </w:rPr>
        <w:t>，同比下降</w:t>
      </w:r>
      <w:r w:rsidRPr="00707940">
        <w:rPr>
          <w:rFonts w:ascii="Arial" w:hAnsi="Arial" w:cs="Arial" w:hint="eastAsia"/>
          <w:kern w:val="0"/>
          <w:sz w:val="22"/>
          <w:szCs w:val="21"/>
        </w:rPr>
        <w:t>0.51</w:t>
      </w:r>
      <w:r w:rsidRPr="00707940">
        <w:rPr>
          <w:rFonts w:ascii="Arial" w:hAnsi="Arial" w:cs="Arial" w:hint="eastAsia"/>
          <w:kern w:val="0"/>
          <w:sz w:val="22"/>
          <w:szCs w:val="21"/>
        </w:rPr>
        <w:t>个百分点</w:t>
      </w:r>
      <w:r>
        <w:rPr>
          <w:rFonts w:ascii="Arial" w:hAnsi="Arial" w:cs="Arial" w:hint="eastAsia"/>
          <w:kern w:val="0"/>
          <w:sz w:val="22"/>
          <w:szCs w:val="21"/>
        </w:rPr>
        <w:t>（</w:t>
      </w:r>
      <w:r>
        <w:rPr>
          <w:rFonts w:ascii="Arial" w:hAnsi="Arial" w:cs="Arial" w:hint="eastAsia"/>
          <w:kern w:val="0"/>
          <w:sz w:val="22"/>
          <w:szCs w:val="21"/>
        </w:rPr>
        <w:t>H</w:t>
      </w:r>
      <w:r>
        <w:rPr>
          <w:rFonts w:ascii="Arial" w:hAnsi="Arial" w:cs="Arial" w:hint="eastAsia"/>
          <w:kern w:val="0"/>
          <w:sz w:val="22"/>
          <w:szCs w:val="21"/>
        </w:rPr>
        <w:t>股：</w:t>
      </w:r>
      <w:r w:rsidRPr="00707940">
        <w:rPr>
          <w:rFonts w:ascii="Arial" w:hAnsi="Arial" w:cs="Arial" w:hint="eastAsia"/>
          <w:kern w:val="0"/>
          <w:sz w:val="22"/>
          <w:szCs w:val="21"/>
        </w:rPr>
        <w:t xml:space="preserve"> 29.59%</w:t>
      </w:r>
      <w:r w:rsidRPr="00707940">
        <w:rPr>
          <w:rFonts w:ascii="Arial" w:hAnsi="Arial" w:cs="Arial" w:hint="eastAsia"/>
          <w:kern w:val="0"/>
          <w:sz w:val="22"/>
          <w:szCs w:val="21"/>
        </w:rPr>
        <w:t>，同比下降</w:t>
      </w:r>
      <w:r w:rsidRPr="00707940">
        <w:rPr>
          <w:rFonts w:ascii="Arial" w:hAnsi="Arial" w:cs="Arial" w:hint="eastAsia"/>
          <w:kern w:val="0"/>
          <w:sz w:val="22"/>
          <w:szCs w:val="21"/>
        </w:rPr>
        <w:t>0.50</w:t>
      </w:r>
      <w:r w:rsidRPr="00707940">
        <w:rPr>
          <w:rFonts w:ascii="Arial" w:hAnsi="Arial" w:cs="Arial" w:hint="eastAsia"/>
          <w:kern w:val="0"/>
          <w:sz w:val="22"/>
          <w:szCs w:val="21"/>
        </w:rPr>
        <w:t>个百分点</w:t>
      </w:r>
      <w:r>
        <w:rPr>
          <w:rFonts w:ascii="Arial" w:hAnsi="Arial" w:cs="Arial" w:hint="eastAsia"/>
          <w:kern w:val="0"/>
          <w:sz w:val="22"/>
          <w:szCs w:val="21"/>
        </w:rPr>
        <w:t>）。</w:t>
      </w:r>
    </w:p>
    <w:p w14:paraId="1CCB9211" w14:textId="4A901E99" w:rsidR="005E506A" w:rsidRPr="008F4A22" w:rsidRDefault="000E0288" w:rsidP="00481318">
      <w:pPr>
        <w:pBdr>
          <w:top w:val="single" w:sz="4" w:space="1" w:color="auto"/>
          <w:left w:val="single" w:sz="4" w:space="4" w:color="auto"/>
          <w:bottom w:val="single" w:sz="4" w:space="1" w:color="auto"/>
          <w:right w:val="single" w:sz="4" w:space="13" w:color="auto"/>
        </w:pBdr>
        <w:spacing w:beforeLines="50" w:before="180" w:afterLines="50" w:after="180"/>
        <w:rPr>
          <w:rFonts w:ascii="Arial" w:hAnsi="Arial" w:cs="Arial"/>
          <w:b/>
          <w:color w:val="000000"/>
          <w:sz w:val="22"/>
          <w:szCs w:val="22"/>
        </w:rPr>
      </w:pPr>
      <w:r w:rsidRPr="00865B2B">
        <w:rPr>
          <w:rFonts w:ascii="Arial" w:hAnsi="Arial" w:cs="Arial" w:hint="eastAsia"/>
          <w:b/>
          <w:color w:val="000000"/>
          <w:sz w:val="22"/>
          <w:szCs w:val="22"/>
        </w:rPr>
        <w:t>资产负债</w:t>
      </w:r>
      <w:r w:rsidR="00B33858" w:rsidRPr="00865B2B">
        <w:rPr>
          <w:rFonts w:ascii="Arial" w:hAnsi="Arial" w:cs="Arial" w:hint="eastAsia"/>
          <w:b/>
          <w:color w:val="000000"/>
          <w:sz w:val="22"/>
          <w:szCs w:val="22"/>
        </w:rPr>
        <w:t>规模稳</w:t>
      </w:r>
      <w:r w:rsidR="00936D7F">
        <w:rPr>
          <w:rFonts w:ascii="Arial" w:hAnsi="Arial" w:cs="Arial" w:hint="eastAsia"/>
          <w:b/>
          <w:color w:val="000000"/>
          <w:sz w:val="22"/>
          <w:szCs w:val="22"/>
        </w:rPr>
        <w:t>步</w:t>
      </w:r>
      <w:r w:rsidR="00B33858" w:rsidRPr="00865B2B">
        <w:rPr>
          <w:rFonts w:ascii="Arial" w:hAnsi="Arial" w:cs="Arial" w:hint="eastAsia"/>
          <w:b/>
          <w:color w:val="000000"/>
          <w:sz w:val="22"/>
          <w:szCs w:val="22"/>
        </w:rPr>
        <w:t>增长</w:t>
      </w:r>
      <w:r w:rsidRPr="00865B2B">
        <w:rPr>
          <w:rFonts w:ascii="Arial" w:hAnsi="Arial" w:cs="Arial" w:hint="eastAsia"/>
          <w:b/>
          <w:color w:val="000000"/>
          <w:sz w:val="22"/>
          <w:szCs w:val="22"/>
        </w:rPr>
        <w:t>，净息差</w:t>
      </w:r>
      <w:r w:rsidR="00A33B87" w:rsidRPr="00865B2B">
        <w:rPr>
          <w:rFonts w:ascii="Arial" w:hAnsi="Arial" w:cs="Arial" w:hint="eastAsia"/>
          <w:b/>
          <w:color w:val="000000"/>
          <w:sz w:val="22"/>
          <w:szCs w:val="22"/>
        </w:rPr>
        <w:t>保持</w:t>
      </w:r>
      <w:r w:rsidR="00E2236E">
        <w:rPr>
          <w:rFonts w:ascii="Arial" w:hAnsi="Arial" w:cs="Arial" w:hint="eastAsia"/>
          <w:b/>
          <w:color w:val="000000"/>
          <w:sz w:val="22"/>
          <w:szCs w:val="22"/>
        </w:rPr>
        <w:t>领先</w:t>
      </w:r>
      <w:r w:rsidR="00A33B87" w:rsidRPr="00865B2B">
        <w:rPr>
          <w:rFonts w:ascii="Arial" w:hAnsi="Arial" w:cs="Arial" w:hint="eastAsia"/>
          <w:b/>
          <w:color w:val="000000"/>
          <w:sz w:val="22"/>
          <w:szCs w:val="22"/>
        </w:rPr>
        <w:t>优势</w:t>
      </w:r>
      <w:bookmarkEnd w:id="3"/>
    </w:p>
    <w:p w14:paraId="091F0C88" w14:textId="6250E489" w:rsidR="006B7542" w:rsidRPr="005A672A" w:rsidRDefault="003B05A1" w:rsidP="00B11BF5">
      <w:pPr>
        <w:numPr>
          <w:ilvl w:val="0"/>
          <w:numId w:val="1"/>
        </w:numPr>
        <w:pBdr>
          <w:top w:val="single" w:sz="4" w:space="1" w:color="auto"/>
          <w:left w:val="single" w:sz="4" w:space="4" w:color="auto"/>
          <w:bottom w:val="single" w:sz="4" w:space="1" w:color="auto"/>
          <w:right w:val="single" w:sz="4" w:space="13" w:color="auto"/>
        </w:pBdr>
        <w:spacing w:beforeLines="50" w:before="180" w:afterLines="50" w:after="180"/>
        <w:rPr>
          <w:rFonts w:ascii="Arial" w:hAnsi="Arial" w:cs="Arial"/>
          <w:color w:val="000000"/>
          <w:sz w:val="22"/>
          <w:szCs w:val="22"/>
        </w:rPr>
      </w:pPr>
      <w:r w:rsidRPr="005A672A">
        <w:rPr>
          <w:rFonts w:ascii="Arial" w:hAnsi="Arial" w:cs="Arial" w:hint="eastAsia"/>
          <w:color w:val="000000"/>
          <w:sz w:val="22"/>
          <w:szCs w:val="22"/>
        </w:rPr>
        <w:t>资产总额</w:t>
      </w:r>
      <w:r w:rsidR="005C7661" w:rsidRPr="005A672A">
        <w:rPr>
          <w:rFonts w:ascii="Arial" w:hAnsi="Arial" w:cs="Arial"/>
          <w:color w:val="000000"/>
          <w:sz w:val="22"/>
          <w:szCs w:val="22"/>
        </w:rPr>
        <w:t>116,547.63</w:t>
      </w:r>
      <w:r w:rsidR="00F6010D" w:rsidRPr="005A672A">
        <w:rPr>
          <w:rFonts w:ascii="Arial" w:hAnsi="Arial" w:cs="Arial" w:hint="eastAsia"/>
          <w:color w:val="000000"/>
          <w:sz w:val="22"/>
          <w:szCs w:val="22"/>
        </w:rPr>
        <w:t>亿元，较上年末增长</w:t>
      </w:r>
      <w:r w:rsidR="005C7661" w:rsidRPr="005A672A">
        <w:rPr>
          <w:rFonts w:ascii="Arial" w:hAnsi="Arial" w:cs="Arial"/>
          <w:color w:val="000000"/>
          <w:sz w:val="22"/>
          <w:szCs w:val="22"/>
        </w:rPr>
        <w:t>5.68</w:t>
      </w:r>
      <w:r w:rsidR="00F6010D" w:rsidRPr="005A672A">
        <w:rPr>
          <w:rFonts w:ascii="Arial" w:hAnsi="Arial" w:cs="Arial" w:hint="eastAsia"/>
          <w:color w:val="000000"/>
          <w:sz w:val="22"/>
          <w:szCs w:val="22"/>
        </w:rPr>
        <w:t>%</w:t>
      </w:r>
      <w:r w:rsidR="006B7542" w:rsidRPr="005A672A">
        <w:rPr>
          <w:rFonts w:ascii="Arial" w:hAnsi="Arial" w:cs="Arial"/>
          <w:color w:val="000000"/>
          <w:sz w:val="22"/>
          <w:szCs w:val="22"/>
        </w:rPr>
        <w:t>；</w:t>
      </w:r>
      <w:r w:rsidRPr="005A672A">
        <w:rPr>
          <w:rFonts w:ascii="Arial" w:hAnsi="Arial" w:cs="Arial" w:hint="eastAsia"/>
          <w:color w:val="000000"/>
          <w:sz w:val="22"/>
          <w:szCs w:val="22"/>
        </w:rPr>
        <w:t>负债总额</w:t>
      </w:r>
      <w:r w:rsidR="005C7661" w:rsidRPr="005A672A">
        <w:rPr>
          <w:rFonts w:ascii="Arial" w:hAnsi="Arial" w:cs="Arial"/>
          <w:color w:val="000000"/>
          <w:sz w:val="22"/>
          <w:szCs w:val="22"/>
        </w:rPr>
        <w:t>104,951.28</w:t>
      </w:r>
      <w:r w:rsidR="00F6010D" w:rsidRPr="005A672A">
        <w:rPr>
          <w:rFonts w:ascii="Arial" w:hAnsi="Arial" w:cs="Arial" w:hint="eastAsia"/>
          <w:color w:val="000000"/>
          <w:sz w:val="22"/>
          <w:szCs w:val="22"/>
        </w:rPr>
        <w:t>亿元，较上年末增长</w:t>
      </w:r>
      <w:r w:rsidR="005C7661" w:rsidRPr="005A672A">
        <w:rPr>
          <w:rFonts w:ascii="Arial" w:hAnsi="Arial" w:cs="Arial"/>
          <w:color w:val="000000"/>
          <w:sz w:val="22"/>
          <w:szCs w:val="22"/>
        </w:rPr>
        <w:t>5.56</w:t>
      </w:r>
      <w:r w:rsidR="00F6010D" w:rsidRPr="005A672A">
        <w:rPr>
          <w:rFonts w:ascii="Arial" w:hAnsi="Arial" w:cs="Arial" w:hint="eastAsia"/>
          <w:color w:val="000000"/>
          <w:sz w:val="22"/>
          <w:szCs w:val="22"/>
        </w:rPr>
        <w:t>%</w:t>
      </w:r>
      <w:r w:rsidR="006B7542" w:rsidRPr="005A672A">
        <w:rPr>
          <w:rFonts w:ascii="Arial" w:hAnsi="Arial" w:cs="Arial"/>
          <w:color w:val="000000"/>
          <w:sz w:val="22"/>
          <w:szCs w:val="22"/>
        </w:rPr>
        <w:t>；</w:t>
      </w:r>
      <w:bookmarkStart w:id="4" w:name="_Hlk180771975"/>
      <w:r w:rsidR="00921290" w:rsidRPr="005A672A">
        <w:rPr>
          <w:rFonts w:ascii="Arial" w:hAnsi="Arial" w:cs="Arial" w:hint="eastAsia"/>
          <w:color w:val="000000"/>
          <w:sz w:val="22"/>
          <w:szCs w:val="22"/>
        </w:rPr>
        <w:t>贷款和垫款</w:t>
      </w:r>
      <w:bookmarkEnd w:id="4"/>
      <w:r w:rsidR="00921290" w:rsidRPr="005A672A">
        <w:rPr>
          <w:rFonts w:ascii="Arial" w:hAnsi="Arial" w:cs="Arial" w:hint="eastAsia"/>
          <w:color w:val="000000"/>
          <w:sz w:val="22"/>
          <w:szCs w:val="22"/>
        </w:rPr>
        <w:t>总额</w:t>
      </w:r>
      <w:r w:rsidR="00011E73" w:rsidRPr="005A672A">
        <w:rPr>
          <w:rFonts w:ascii="Arial" w:hAnsi="Arial" w:cs="Arial"/>
          <w:color w:val="000000"/>
          <w:sz w:val="22"/>
          <w:szCs w:val="22"/>
        </w:rPr>
        <w:t>67,587.51</w:t>
      </w:r>
      <w:r w:rsidR="00F6010D" w:rsidRPr="005A672A">
        <w:rPr>
          <w:rFonts w:ascii="Arial" w:hAnsi="Arial" w:cs="Arial" w:hint="eastAsia"/>
          <w:color w:val="000000"/>
          <w:sz w:val="22"/>
          <w:szCs w:val="22"/>
        </w:rPr>
        <w:t>亿元，较上年末增长</w:t>
      </w:r>
      <w:r w:rsidR="00011E73" w:rsidRPr="005A672A">
        <w:rPr>
          <w:rFonts w:ascii="Arial" w:hAnsi="Arial" w:cs="Arial"/>
          <w:color w:val="000000"/>
          <w:sz w:val="22"/>
          <w:szCs w:val="22"/>
        </w:rPr>
        <w:t>3.84</w:t>
      </w:r>
      <w:r w:rsidR="00F6010D" w:rsidRPr="005A672A">
        <w:rPr>
          <w:rFonts w:ascii="Arial" w:hAnsi="Arial" w:cs="Arial" w:hint="eastAsia"/>
          <w:color w:val="000000"/>
          <w:sz w:val="22"/>
          <w:szCs w:val="22"/>
        </w:rPr>
        <w:t>%</w:t>
      </w:r>
      <w:r w:rsidR="00921290" w:rsidRPr="005A672A">
        <w:rPr>
          <w:rFonts w:ascii="Arial" w:hAnsi="Arial" w:cs="Arial" w:hint="eastAsia"/>
          <w:color w:val="000000"/>
          <w:sz w:val="22"/>
          <w:szCs w:val="22"/>
        </w:rPr>
        <w:t>；</w:t>
      </w:r>
      <w:r w:rsidRPr="005A672A">
        <w:rPr>
          <w:rFonts w:ascii="Arial" w:hAnsi="Arial" w:cs="Arial" w:hint="eastAsia"/>
          <w:color w:val="000000"/>
          <w:sz w:val="22"/>
          <w:szCs w:val="22"/>
        </w:rPr>
        <w:t>客户存款总额</w:t>
      </w:r>
      <w:r w:rsidR="00011E73" w:rsidRPr="005A672A">
        <w:rPr>
          <w:rFonts w:ascii="Arial" w:hAnsi="Arial" w:cs="Arial"/>
          <w:color w:val="000000"/>
          <w:sz w:val="22"/>
          <w:szCs w:val="22"/>
        </w:rPr>
        <w:t>87,326.81</w:t>
      </w:r>
      <w:r w:rsidR="00F6010D" w:rsidRPr="005A672A">
        <w:rPr>
          <w:rFonts w:ascii="Arial" w:hAnsi="Arial" w:cs="Arial" w:hint="eastAsia"/>
          <w:color w:val="000000"/>
          <w:sz w:val="22"/>
          <w:szCs w:val="22"/>
        </w:rPr>
        <w:t>亿元，较上年末增长</w:t>
      </w:r>
      <w:r w:rsidR="00011E73" w:rsidRPr="005A672A">
        <w:rPr>
          <w:rFonts w:ascii="Arial" w:hAnsi="Arial" w:cs="Arial"/>
          <w:color w:val="000000"/>
          <w:sz w:val="22"/>
          <w:szCs w:val="22"/>
        </w:rPr>
        <w:t>7.08</w:t>
      </w:r>
      <w:r w:rsidR="00F6010D" w:rsidRPr="005A672A">
        <w:rPr>
          <w:rFonts w:ascii="Arial" w:hAnsi="Arial" w:cs="Arial" w:hint="eastAsia"/>
          <w:color w:val="000000"/>
          <w:sz w:val="22"/>
          <w:szCs w:val="22"/>
        </w:rPr>
        <w:t>%</w:t>
      </w:r>
      <w:r w:rsidR="006B7542" w:rsidRPr="005A672A">
        <w:rPr>
          <w:rFonts w:ascii="Arial" w:hAnsi="Arial" w:cs="Arial"/>
          <w:color w:val="000000"/>
          <w:sz w:val="22"/>
          <w:szCs w:val="22"/>
        </w:rPr>
        <w:t>；</w:t>
      </w:r>
      <w:r w:rsidR="00F6010D" w:rsidRPr="005A672A">
        <w:rPr>
          <w:rFonts w:ascii="Arial" w:hAnsi="Arial" w:cs="Arial"/>
          <w:color w:val="000000"/>
          <w:sz w:val="22"/>
          <w:szCs w:val="22"/>
        </w:rPr>
        <w:t xml:space="preserve"> </w:t>
      </w:r>
    </w:p>
    <w:p w14:paraId="073071C9" w14:textId="29A9EC8E" w:rsidR="006B7542" w:rsidRPr="00011E73" w:rsidRDefault="00472392" w:rsidP="00A6454B">
      <w:pPr>
        <w:numPr>
          <w:ilvl w:val="0"/>
          <w:numId w:val="1"/>
        </w:numPr>
        <w:pBdr>
          <w:top w:val="single" w:sz="4" w:space="1" w:color="auto"/>
          <w:left w:val="single" w:sz="4" w:space="4" w:color="auto"/>
          <w:bottom w:val="single" w:sz="4" w:space="1" w:color="auto"/>
          <w:right w:val="single" w:sz="4" w:space="13" w:color="auto"/>
        </w:pBdr>
        <w:spacing w:beforeLines="50" w:before="180" w:afterLines="50" w:after="180"/>
        <w:rPr>
          <w:rFonts w:ascii="Arial" w:hAnsi="Arial" w:cs="Arial"/>
          <w:color w:val="000000"/>
          <w:sz w:val="22"/>
          <w:szCs w:val="22"/>
        </w:rPr>
      </w:pPr>
      <w:bookmarkStart w:id="5" w:name="_Hlk133263772"/>
      <w:r>
        <w:rPr>
          <w:rFonts w:ascii="Arial" w:hAnsi="Arial" w:cs="Arial" w:hint="eastAsia"/>
          <w:color w:val="000000"/>
          <w:sz w:val="22"/>
          <w:szCs w:val="22"/>
        </w:rPr>
        <w:t>净息差同比降幅和环比降幅均收窄。前三季度，净息差</w:t>
      </w:r>
      <w:r w:rsidRPr="00011E73">
        <w:rPr>
          <w:rFonts w:ascii="Arial" w:hAnsi="Arial" w:cs="Arial"/>
          <w:color w:val="000000"/>
          <w:sz w:val="22"/>
          <w:szCs w:val="22"/>
        </w:rPr>
        <w:t>1.99</w:t>
      </w:r>
      <w:r w:rsidRPr="00011E73">
        <w:rPr>
          <w:rFonts w:ascii="Arial" w:hAnsi="Arial" w:cs="Arial" w:hint="eastAsia"/>
          <w:color w:val="000000"/>
          <w:sz w:val="22"/>
          <w:szCs w:val="22"/>
        </w:rPr>
        <w:t>%</w:t>
      </w:r>
      <w:r w:rsidRPr="00011E73">
        <w:rPr>
          <w:rFonts w:ascii="Arial" w:hAnsi="Arial" w:cs="Arial" w:hint="eastAsia"/>
          <w:color w:val="000000"/>
          <w:sz w:val="22"/>
          <w:szCs w:val="22"/>
        </w:rPr>
        <w:t>，同比下降</w:t>
      </w:r>
      <w:r w:rsidRPr="00011E73">
        <w:rPr>
          <w:rFonts w:ascii="Arial" w:hAnsi="Arial" w:cs="Arial" w:hint="eastAsia"/>
          <w:color w:val="000000"/>
          <w:sz w:val="22"/>
          <w:szCs w:val="22"/>
        </w:rPr>
        <w:t>20</w:t>
      </w:r>
      <w:r w:rsidRPr="00011E73">
        <w:rPr>
          <w:rFonts w:ascii="Arial" w:hAnsi="Arial" w:cs="Arial" w:hint="eastAsia"/>
          <w:color w:val="000000"/>
          <w:sz w:val="22"/>
          <w:szCs w:val="22"/>
        </w:rPr>
        <w:t>个基点</w:t>
      </w:r>
      <w:r>
        <w:rPr>
          <w:rFonts w:ascii="Arial" w:hAnsi="Arial" w:cs="Arial" w:hint="eastAsia"/>
          <w:color w:val="000000"/>
          <w:sz w:val="22"/>
          <w:szCs w:val="22"/>
        </w:rPr>
        <w:t>，</w:t>
      </w:r>
      <w:r w:rsidRPr="00936D7F">
        <w:rPr>
          <w:rFonts w:ascii="Arial" w:hAnsi="Arial" w:cs="Arial" w:hint="eastAsia"/>
          <w:color w:val="000000"/>
          <w:sz w:val="22"/>
          <w:szCs w:val="22"/>
        </w:rPr>
        <w:t>降幅较上半年收窄</w:t>
      </w:r>
      <w:r w:rsidRPr="00936D7F">
        <w:rPr>
          <w:rFonts w:ascii="Arial" w:hAnsi="Arial" w:cs="Arial" w:hint="eastAsia"/>
          <w:color w:val="000000"/>
          <w:sz w:val="22"/>
          <w:szCs w:val="22"/>
        </w:rPr>
        <w:t>3</w:t>
      </w:r>
      <w:r w:rsidRPr="00936D7F">
        <w:rPr>
          <w:rFonts w:ascii="Arial" w:hAnsi="Arial" w:cs="Arial" w:hint="eastAsia"/>
          <w:color w:val="000000"/>
          <w:sz w:val="22"/>
          <w:szCs w:val="22"/>
        </w:rPr>
        <w:t>个</w:t>
      </w:r>
      <w:r>
        <w:rPr>
          <w:rFonts w:ascii="Arial" w:hAnsi="Arial" w:cs="Arial" w:hint="eastAsia"/>
          <w:color w:val="000000"/>
          <w:sz w:val="22"/>
          <w:szCs w:val="22"/>
        </w:rPr>
        <w:t>基点</w:t>
      </w:r>
      <w:r w:rsidR="00AD566B">
        <w:rPr>
          <w:rFonts w:ascii="Arial" w:hAnsi="Arial" w:cs="Arial" w:hint="eastAsia"/>
          <w:color w:val="000000"/>
          <w:sz w:val="22"/>
          <w:szCs w:val="22"/>
        </w:rPr>
        <w:t>，依然保持较高水平</w:t>
      </w:r>
      <w:r w:rsidRPr="00011E73">
        <w:rPr>
          <w:rFonts w:ascii="Arial" w:hAnsi="Arial" w:cs="Arial" w:hint="eastAsia"/>
          <w:color w:val="000000"/>
          <w:sz w:val="22"/>
          <w:szCs w:val="22"/>
        </w:rPr>
        <w:t>；第三季度</w:t>
      </w:r>
      <w:r>
        <w:rPr>
          <w:rFonts w:ascii="Arial" w:hAnsi="Arial" w:cs="Arial" w:hint="eastAsia"/>
          <w:color w:val="000000"/>
          <w:sz w:val="22"/>
          <w:szCs w:val="22"/>
        </w:rPr>
        <w:t>，净息差</w:t>
      </w:r>
      <w:r w:rsidRPr="00011E73">
        <w:rPr>
          <w:rFonts w:ascii="Arial" w:hAnsi="Arial" w:cs="Arial" w:hint="eastAsia"/>
          <w:color w:val="000000"/>
          <w:sz w:val="22"/>
          <w:szCs w:val="22"/>
        </w:rPr>
        <w:t>1.97%</w:t>
      </w:r>
      <w:r w:rsidRPr="00011E73">
        <w:rPr>
          <w:rFonts w:ascii="Arial" w:hAnsi="Arial" w:cs="Arial" w:hint="eastAsia"/>
          <w:color w:val="000000"/>
          <w:sz w:val="22"/>
          <w:szCs w:val="22"/>
        </w:rPr>
        <w:t>，环比下降</w:t>
      </w:r>
      <w:r w:rsidRPr="00011E73">
        <w:rPr>
          <w:rFonts w:ascii="Arial" w:hAnsi="Arial" w:cs="Arial" w:hint="eastAsia"/>
          <w:color w:val="000000"/>
          <w:sz w:val="22"/>
          <w:szCs w:val="22"/>
        </w:rPr>
        <w:t>2</w:t>
      </w:r>
      <w:r w:rsidRPr="00011E73">
        <w:rPr>
          <w:rFonts w:ascii="Arial" w:hAnsi="Arial" w:cs="Arial" w:hint="eastAsia"/>
          <w:color w:val="000000"/>
          <w:sz w:val="22"/>
          <w:szCs w:val="22"/>
        </w:rPr>
        <w:t>个基点，</w:t>
      </w:r>
      <w:r w:rsidRPr="00936D7F">
        <w:rPr>
          <w:rFonts w:ascii="Arial" w:hAnsi="Arial" w:cs="Arial" w:hint="eastAsia"/>
          <w:color w:val="000000"/>
          <w:sz w:val="22"/>
          <w:szCs w:val="22"/>
        </w:rPr>
        <w:t>降幅较二季度收窄</w:t>
      </w:r>
      <w:r w:rsidRPr="00936D7F">
        <w:rPr>
          <w:rFonts w:ascii="Arial" w:hAnsi="Arial" w:cs="Arial" w:hint="eastAsia"/>
          <w:color w:val="000000"/>
          <w:sz w:val="22"/>
          <w:szCs w:val="22"/>
        </w:rPr>
        <w:t>1</w:t>
      </w:r>
      <w:r w:rsidRPr="00936D7F">
        <w:rPr>
          <w:rFonts w:ascii="Arial" w:hAnsi="Arial" w:cs="Arial" w:hint="eastAsia"/>
          <w:color w:val="000000"/>
          <w:sz w:val="22"/>
          <w:szCs w:val="22"/>
        </w:rPr>
        <w:t>个</w:t>
      </w:r>
      <w:r>
        <w:rPr>
          <w:rFonts w:ascii="Arial" w:hAnsi="Arial" w:cs="Arial" w:hint="eastAsia"/>
          <w:color w:val="000000"/>
          <w:sz w:val="22"/>
          <w:szCs w:val="22"/>
        </w:rPr>
        <w:t>基点</w:t>
      </w:r>
      <w:r w:rsidRPr="00011E73">
        <w:rPr>
          <w:rFonts w:ascii="Arial" w:hAnsi="Arial" w:cs="Arial" w:hint="eastAsia"/>
          <w:color w:val="000000"/>
          <w:sz w:val="22"/>
          <w:szCs w:val="22"/>
        </w:rPr>
        <w:t>。</w:t>
      </w:r>
      <w:bookmarkEnd w:id="5"/>
    </w:p>
    <w:p w14:paraId="6889DE38" w14:textId="16EE413B" w:rsidR="00BC434B" w:rsidRPr="00297B15" w:rsidRDefault="00847CA2">
      <w:pPr>
        <w:pBdr>
          <w:top w:val="single" w:sz="4" w:space="1" w:color="auto"/>
          <w:left w:val="single" w:sz="4" w:space="4" w:color="auto"/>
          <w:bottom w:val="single" w:sz="4" w:space="1" w:color="auto"/>
          <w:right w:val="single" w:sz="4" w:space="13" w:color="auto"/>
        </w:pBdr>
        <w:spacing w:beforeLines="50" w:before="180" w:afterLines="50" w:after="180"/>
        <w:rPr>
          <w:rFonts w:ascii="Arial" w:hAnsi="Arial" w:cs="Arial"/>
          <w:b/>
          <w:color w:val="000000"/>
          <w:sz w:val="22"/>
          <w:szCs w:val="22"/>
        </w:rPr>
      </w:pPr>
      <w:bookmarkStart w:id="6" w:name="_Hlk149156026"/>
      <w:r w:rsidRPr="00865B2B">
        <w:rPr>
          <w:rFonts w:ascii="Arial" w:hAnsi="Arial" w:cs="Arial"/>
          <w:b/>
          <w:kern w:val="0"/>
          <w:sz w:val="22"/>
          <w:szCs w:val="21"/>
        </w:rPr>
        <w:t>资产质量</w:t>
      </w:r>
      <w:r w:rsidR="006B7542" w:rsidRPr="00865B2B">
        <w:rPr>
          <w:rFonts w:ascii="Arial" w:hAnsi="Arial" w:cs="Arial" w:hint="eastAsia"/>
          <w:b/>
          <w:kern w:val="0"/>
          <w:sz w:val="22"/>
          <w:szCs w:val="21"/>
        </w:rPr>
        <w:t>保持</w:t>
      </w:r>
      <w:r w:rsidR="00A6454B" w:rsidRPr="00865B2B">
        <w:rPr>
          <w:rFonts w:ascii="Arial" w:hAnsi="Arial" w:cs="Arial" w:hint="eastAsia"/>
          <w:b/>
          <w:kern w:val="0"/>
          <w:sz w:val="22"/>
          <w:szCs w:val="21"/>
        </w:rPr>
        <w:t>良好</w:t>
      </w:r>
      <w:r w:rsidR="006B7542" w:rsidRPr="00865B2B">
        <w:rPr>
          <w:rFonts w:ascii="Arial" w:hAnsi="Arial" w:cs="Arial" w:hint="eastAsia"/>
          <w:b/>
          <w:kern w:val="0"/>
          <w:sz w:val="22"/>
          <w:szCs w:val="21"/>
        </w:rPr>
        <w:t>，风险抵补能力</w:t>
      </w:r>
      <w:r w:rsidR="00472E22" w:rsidRPr="00865B2B">
        <w:rPr>
          <w:rFonts w:ascii="Arial" w:hAnsi="Arial" w:cs="Arial" w:hint="eastAsia"/>
          <w:b/>
          <w:kern w:val="0"/>
          <w:sz w:val="22"/>
          <w:szCs w:val="21"/>
        </w:rPr>
        <w:t>充足</w:t>
      </w:r>
      <w:r w:rsidR="00297B15" w:rsidRPr="00865B2B">
        <w:rPr>
          <w:rFonts w:ascii="Arial" w:hAnsi="Arial" w:cs="Arial" w:hint="eastAsia"/>
          <w:b/>
          <w:kern w:val="0"/>
          <w:sz w:val="22"/>
          <w:szCs w:val="21"/>
        </w:rPr>
        <w:t>强健</w:t>
      </w:r>
      <w:bookmarkEnd w:id="6"/>
    </w:p>
    <w:p w14:paraId="0C1EFF03" w14:textId="3D734FBD" w:rsidR="0066261D" w:rsidRPr="008F4A22" w:rsidRDefault="00A203E1" w:rsidP="009E244A">
      <w:pPr>
        <w:numPr>
          <w:ilvl w:val="0"/>
          <w:numId w:val="4"/>
        </w:numPr>
        <w:pBdr>
          <w:top w:val="single" w:sz="4" w:space="1" w:color="auto"/>
          <w:left w:val="single" w:sz="4" w:space="4" w:color="auto"/>
          <w:bottom w:val="single" w:sz="4" w:space="1" w:color="auto"/>
          <w:right w:val="single" w:sz="4" w:space="13" w:color="auto"/>
        </w:pBdr>
        <w:spacing w:beforeLines="50" w:before="180" w:afterLines="50" w:after="180"/>
        <w:rPr>
          <w:rFonts w:ascii="Arial" w:hAnsi="Arial" w:cs="Arial"/>
          <w:kern w:val="0"/>
          <w:sz w:val="22"/>
          <w:szCs w:val="21"/>
        </w:rPr>
      </w:pPr>
      <w:r w:rsidRPr="008F4A22">
        <w:rPr>
          <w:rFonts w:ascii="Arial" w:hAnsi="Arial" w:cs="Arial" w:hint="eastAsia"/>
          <w:kern w:val="0"/>
          <w:sz w:val="22"/>
          <w:szCs w:val="21"/>
        </w:rPr>
        <w:t>不良贷款余额</w:t>
      </w:r>
      <w:r w:rsidR="005C7661" w:rsidRPr="005C7661">
        <w:rPr>
          <w:rFonts w:ascii="Arial" w:hAnsi="Arial" w:cs="Arial"/>
          <w:kern w:val="0"/>
          <w:sz w:val="22"/>
          <w:szCs w:val="21"/>
        </w:rPr>
        <w:t>635.57</w:t>
      </w:r>
      <w:r w:rsidR="00F6010D" w:rsidRPr="00F6010D">
        <w:rPr>
          <w:rFonts w:ascii="Arial" w:hAnsi="Arial" w:cs="Arial" w:hint="eastAsia"/>
          <w:kern w:val="0"/>
          <w:sz w:val="22"/>
          <w:szCs w:val="21"/>
        </w:rPr>
        <w:t>亿元，较上年末增加</w:t>
      </w:r>
      <w:r w:rsidR="005C7661" w:rsidRPr="005C7661">
        <w:rPr>
          <w:rFonts w:ascii="Arial" w:hAnsi="Arial" w:cs="Arial"/>
          <w:kern w:val="0"/>
          <w:sz w:val="22"/>
          <w:szCs w:val="21"/>
        </w:rPr>
        <w:t>19.78</w:t>
      </w:r>
      <w:r w:rsidR="00F6010D" w:rsidRPr="00F6010D">
        <w:rPr>
          <w:rFonts w:ascii="Arial" w:hAnsi="Arial" w:cs="Arial" w:hint="eastAsia"/>
          <w:kern w:val="0"/>
          <w:sz w:val="22"/>
          <w:szCs w:val="21"/>
        </w:rPr>
        <w:t>亿元</w:t>
      </w:r>
      <w:r w:rsidRPr="008F4A22">
        <w:rPr>
          <w:rFonts w:ascii="Arial" w:hAnsi="Arial" w:cs="Arial" w:hint="eastAsia"/>
          <w:kern w:val="0"/>
          <w:sz w:val="22"/>
          <w:szCs w:val="21"/>
        </w:rPr>
        <w:t>；不良贷款率</w:t>
      </w:r>
      <w:r w:rsidR="005C7661" w:rsidRPr="005C7661">
        <w:rPr>
          <w:rFonts w:ascii="Arial" w:hAnsi="Arial" w:cs="Arial"/>
          <w:kern w:val="0"/>
          <w:sz w:val="22"/>
          <w:szCs w:val="21"/>
        </w:rPr>
        <w:t>0.94</w:t>
      </w:r>
      <w:r w:rsidR="00F6010D" w:rsidRPr="00F6010D">
        <w:rPr>
          <w:rFonts w:ascii="Arial" w:hAnsi="Arial" w:cs="Arial" w:hint="eastAsia"/>
          <w:kern w:val="0"/>
          <w:sz w:val="22"/>
          <w:szCs w:val="21"/>
        </w:rPr>
        <w:t>%</w:t>
      </w:r>
      <w:r w:rsidR="00F6010D" w:rsidRPr="00F6010D">
        <w:rPr>
          <w:rFonts w:ascii="Arial" w:hAnsi="Arial" w:cs="Arial" w:hint="eastAsia"/>
          <w:kern w:val="0"/>
          <w:sz w:val="22"/>
          <w:szCs w:val="21"/>
        </w:rPr>
        <w:t>，与上年末</w:t>
      </w:r>
      <w:r w:rsidR="005C7661" w:rsidRPr="005C7661">
        <w:rPr>
          <w:rFonts w:ascii="Arial" w:hAnsi="Arial" w:cs="Arial" w:hint="eastAsia"/>
          <w:kern w:val="0"/>
          <w:sz w:val="22"/>
          <w:szCs w:val="21"/>
        </w:rPr>
        <w:t>下降</w:t>
      </w:r>
      <w:r w:rsidR="005C7661" w:rsidRPr="005C7661">
        <w:rPr>
          <w:rFonts w:ascii="Arial" w:hAnsi="Arial" w:cs="Arial" w:hint="eastAsia"/>
          <w:kern w:val="0"/>
          <w:sz w:val="22"/>
          <w:szCs w:val="21"/>
        </w:rPr>
        <w:t>0.01</w:t>
      </w:r>
      <w:r w:rsidR="005C7661" w:rsidRPr="005C7661">
        <w:rPr>
          <w:rFonts w:ascii="Arial" w:hAnsi="Arial" w:cs="Arial" w:hint="eastAsia"/>
          <w:kern w:val="0"/>
          <w:sz w:val="22"/>
          <w:szCs w:val="21"/>
        </w:rPr>
        <w:t>个百分点</w:t>
      </w:r>
      <w:r w:rsidRPr="008F4A22">
        <w:rPr>
          <w:rFonts w:ascii="Arial" w:hAnsi="Arial" w:cs="Arial" w:hint="eastAsia"/>
          <w:kern w:val="0"/>
          <w:sz w:val="22"/>
          <w:szCs w:val="21"/>
        </w:rPr>
        <w:t>；</w:t>
      </w:r>
    </w:p>
    <w:p w14:paraId="6008C2CF" w14:textId="77777777" w:rsidR="00936D7F" w:rsidRDefault="00A203E1" w:rsidP="006B7542">
      <w:pPr>
        <w:numPr>
          <w:ilvl w:val="0"/>
          <w:numId w:val="4"/>
        </w:numPr>
        <w:pBdr>
          <w:top w:val="single" w:sz="4" w:space="1" w:color="auto"/>
          <w:left w:val="single" w:sz="4" w:space="4" w:color="auto"/>
          <w:bottom w:val="single" w:sz="4" w:space="1" w:color="auto"/>
          <w:right w:val="single" w:sz="4" w:space="13" w:color="auto"/>
        </w:pBdr>
        <w:spacing w:beforeLines="50" w:before="180" w:afterLines="50" w:after="180"/>
        <w:rPr>
          <w:rFonts w:ascii="Arial" w:hAnsi="Arial" w:cs="Arial"/>
          <w:kern w:val="0"/>
          <w:sz w:val="22"/>
          <w:szCs w:val="21"/>
        </w:rPr>
      </w:pPr>
      <w:r w:rsidRPr="008F4A22">
        <w:rPr>
          <w:rFonts w:ascii="Arial" w:hAnsi="Arial" w:cs="Arial" w:hint="eastAsia"/>
          <w:kern w:val="0"/>
          <w:sz w:val="22"/>
          <w:szCs w:val="21"/>
        </w:rPr>
        <w:t>拨备覆盖率</w:t>
      </w:r>
      <w:r w:rsidR="005C7661" w:rsidRPr="005C7661">
        <w:rPr>
          <w:rFonts w:ascii="Arial" w:hAnsi="Arial" w:cs="Arial"/>
          <w:kern w:val="0"/>
          <w:sz w:val="22"/>
          <w:szCs w:val="21"/>
        </w:rPr>
        <w:t>432.15%</w:t>
      </w:r>
      <w:r w:rsidR="00F6010D" w:rsidRPr="00F6010D">
        <w:rPr>
          <w:rFonts w:ascii="Arial" w:hAnsi="Arial" w:cs="Arial" w:hint="eastAsia"/>
          <w:kern w:val="0"/>
          <w:sz w:val="22"/>
          <w:szCs w:val="21"/>
        </w:rPr>
        <w:t>，较上年末下降</w:t>
      </w:r>
      <w:r w:rsidR="00011E73" w:rsidRPr="00011E73">
        <w:rPr>
          <w:rFonts w:ascii="Arial" w:hAnsi="Arial" w:cs="Arial"/>
          <w:kern w:val="0"/>
          <w:sz w:val="22"/>
          <w:szCs w:val="21"/>
        </w:rPr>
        <w:t>5.55</w:t>
      </w:r>
      <w:r w:rsidR="00F6010D" w:rsidRPr="00F6010D">
        <w:rPr>
          <w:rFonts w:ascii="Arial" w:hAnsi="Arial" w:cs="Arial" w:hint="eastAsia"/>
          <w:kern w:val="0"/>
          <w:sz w:val="22"/>
          <w:szCs w:val="21"/>
        </w:rPr>
        <w:t>个百分点</w:t>
      </w:r>
      <w:r w:rsidRPr="008F4A22">
        <w:rPr>
          <w:rFonts w:ascii="Arial" w:hAnsi="Arial" w:cs="Arial" w:hint="eastAsia"/>
          <w:kern w:val="0"/>
          <w:sz w:val="22"/>
          <w:szCs w:val="21"/>
        </w:rPr>
        <w:t>；贷款</w:t>
      </w:r>
      <w:proofErr w:type="gramStart"/>
      <w:r w:rsidRPr="008F4A22">
        <w:rPr>
          <w:rFonts w:ascii="Arial" w:hAnsi="Arial" w:cs="Arial" w:hint="eastAsia"/>
          <w:kern w:val="0"/>
          <w:sz w:val="22"/>
          <w:szCs w:val="21"/>
        </w:rPr>
        <w:t>拨备率</w:t>
      </w:r>
      <w:proofErr w:type="gramEnd"/>
      <w:r w:rsidR="00011E73" w:rsidRPr="00011E73">
        <w:rPr>
          <w:rFonts w:ascii="Arial" w:hAnsi="Arial" w:cs="Arial"/>
          <w:kern w:val="0"/>
          <w:sz w:val="22"/>
          <w:szCs w:val="21"/>
        </w:rPr>
        <w:t>4.06</w:t>
      </w:r>
      <w:r w:rsidR="00F6010D" w:rsidRPr="00F6010D">
        <w:rPr>
          <w:rFonts w:ascii="Arial" w:hAnsi="Arial" w:cs="Arial" w:hint="eastAsia"/>
          <w:kern w:val="0"/>
          <w:sz w:val="22"/>
          <w:szCs w:val="21"/>
        </w:rPr>
        <w:t>%</w:t>
      </w:r>
      <w:r w:rsidR="00F6010D" w:rsidRPr="00F6010D">
        <w:rPr>
          <w:rFonts w:ascii="Arial" w:hAnsi="Arial" w:cs="Arial" w:hint="eastAsia"/>
          <w:kern w:val="0"/>
          <w:sz w:val="22"/>
          <w:szCs w:val="21"/>
        </w:rPr>
        <w:t>，较上年末下降</w:t>
      </w:r>
      <w:r w:rsidR="00011E73" w:rsidRPr="00011E73">
        <w:rPr>
          <w:rFonts w:ascii="Arial" w:hAnsi="Arial" w:cs="Arial"/>
          <w:kern w:val="0"/>
          <w:sz w:val="22"/>
          <w:szCs w:val="21"/>
        </w:rPr>
        <w:t>0.08</w:t>
      </w:r>
      <w:r w:rsidR="00F6010D" w:rsidRPr="00F6010D">
        <w:rPr>
          <w:rFonts w:ascii="Arial" w:hAnsi="Arial" w:cs="Arial" w:hint="eastAsia"/>
          <w:kern w:val="0"/>
          <w:sz w:val="22"/>
          <w:szCs w:val="21"/>
        </w:rPr>
        <w:t>个百分点</w:t>
      </w:r>
      <w:r w:rsidR="008159A2">
        <w:rPr>
          <w:rFonts w:ascii="Arial" w:hAnsi="Arial" w:cs="Arial" w:hint="eastAsia"/>
          <w:kern w:val="0"/>
          <w:sz w:val="22"/>
          <w:szCs w:val="21"/>
        </w:rPr>
        <w:t>；</w:t>
      </w:r>
    </w:p>
    <w:p w14:paraId="09157DA3" w14:textId="1ED2E181" w:rsidR="006B7542" w:rsidRDefault="00936D7F" w:rsidP="006B7542">
      <w:pPr>
        <w:numPr>
          <w:ilvl w:val="0"/>
          <w:numId w:val="4"/>
        </w:numPr>
        <w:pBdr>
          <w:top w:val="single" w:sz="4" w:space="1" w:color="auto"/>
          <w:left w:val="single" w:sz="4" w:space="4" w:color="auto"/>
          <w:bottom w:val="single" w:sz="4" w:space="1" w:color="auto"/>
          <w:right w:val="single" w:sz="4" w:space="13" w:color="auto"/>
        </w:pBdr>
        <w:spacing w:beforeLines="50" w:before="180" w:afterLines="50" w:after="180"/>
        <w:rPr>
          <w:rFonts w:ascii="Arial" w:hAnsi="Arial" w:cs="Arial"/>
          <w:kern w:val="0"/>
          <w:sz w:val="22"/>
          <w:szCs w:val="21"/>
        </w:rPr>
      </w:pPr>
      <w:r>
        <w:rPr>
          <w:rFonts w:ascii="Arial" w:hAnsi="Arial" w:cs="Arial" w:hint="eastAsia"/>
          <w:kern w:val="0"/>
          <w:sz w:val="22"/>
          <w:szCs w:val="21"/>
        </w:rPr>
        <w:t>本公司</w:t>
      </w:r>
      <w:r w:rsidRPr="00936D7F">
        <w:rPr>
          <w:rFonts w:ascii="Arial" w:hAnsi="Arial" w:cs="Arial" w:hint="eastAsia"/>
          <w:kern w:val="0"/>
          <w:sz w:val="22"/>
          <w:szCs w:val="21"/>
        </w:rPr>
        <w:t>信用成本（年化）</w:t>
      </w:r>
      <w:r w:rsidRPr="00936D7F">
        <w:rPr>
          <w:rFonts w:ascii="Arial" w:hAnsi="Arial" w:cs="Arial" w:hint="eastAsia"/>
          <w:kern w:val="0"/>
          <w:sz w:val="22"/>
          <w:szCs w:val="21"/>
        </w:rPr>
        <w:t>0.71%</w:t>
      </w:r>
      <w:r w:rsidRPr="00936D7F">
        <w:rPr>
          <w:rFonts w:ascii="Arial" w:hAnsi="Arial" w:cs="Arial" w:hint="eastAsia"/>
          <w:kern w:val="0"/>
          <w:sz w:val="22"/>
          <w:szCs w:val="21"/>
        </w:rPr>
        <w:t>，较上年全年下降</w:t>
      </w:r>
      <w:r w:rsidRPr="00936D7F">
        <w:rPr>
          <w:rFonts w:ascii="Arial" w:hAnsi="Arial" w:cs="Arial" w:hint="eastAsia"/>
          <w:kern w:val="0"/>
          <w:sz w:val="22"/>
          <w:szCs w:val="21"/>
        </w:rPr>
        <w:t>0.01</w:t>
      </w:r>
      <w:r w:rsidRPr="00936D7F">
        <w:rPr>
          <w:rFonts w:ascii="Arial" w:hAnsi="Arial" w:cs="Arial" w:hint="eastAsia"/>
          <w:kern w:val="0"/>
          <w:sz w:val="22"/>
          <w:szCs w:val="21"/>
        </w:rPr>
        <w:t>个百分点。</w:t>
      </w:r>
    </w:p>
    <w:p w14:paraId="1881911C" w14:textId="16917782" w:rsidR="00D04781" w:rsidRPr="008B0ABA" w:rsidRDefault="00D04781" w:rsidP="007437AE">
      <w:pPr>
        <w:pBdr>
          <w:top w:val="single" w:sz="4" w:space="1" w:color="auto"/>
          <w:left w:val="single" w:sz="4" w:space="4" w:color="auto"/>
          <w:bottom w:val="single" w:sz="4" w:space="1" w:color="auto"/>
          <w:right w:val="single" w:sz="4" w:space="13" w:color="auto"/>
        </w:pBdr>
        <w:spacing w:beforeLines="50" w:before="180" w:afterLines="50" w:after="180"/>
        <w:rPr>
          <w:rFonts w:ascii="Arial" w:hAnsi="Arial" w:cs="Arial"/>
          <w:b/>
          <w:kern w:val="0"/>
          <w:sz w:val="23"/>
          <w:szCs w:val="23"/>
        </w:rPr>
      </w:pPr>
      <w:bookmarkStart w:id="7" w:name="_Hlk149156620"/>
      <w:r w:rsidRPr="00865B2B">
        <w:rPr>
          <w:rFonts w:ascii="Arial" w:hAnsi="Arial" w:cs="Arial" w:hint="eastAsia"/>
          <w:b/>
          <w:kern w:val="0"/>
          <w:sz w:val="23"/>
          <w:szCs w:val="23"/>
        </w:rPr>
        <w:t>财富管理业务</w:t>
      </w:r>
      <w:r w:rsidR="00DD07E8" w:rsidRPr="00865B2B">
        <w:rPr>
          <w:rFonts w:ascii="Arial" w:hAnsi="Arial" w:cs="Arial" w:hint="eastAsia"/>
          <w:b/>
          <w:kern w:val="0"/>
          <w:sz w:val="23"/>
          <w:szCs w:val="23"/>
        </w:rPr>
        <w:t>基础持续夯实</w:t>
      </w:r>
      <w:r w:rsidRPr="00865B2B">
        <w:rPr>
          <w:rFonts w:ascii="Arial" w:hAnsi="Arial" w:cs="Arial" w:hint="eastAsia"/>
          <w:b/>
          <w:kern w:val="0"/>
          <w:sz w:val="23"/>
          <w:szCs w:val="23"/>
        </w:rPr>
        <w:t>，零售</w:t>
      </w:r>
      <w:r w:rsidRPr="00865B2B">
        <w:rPr>
          <w:rFonts w:ascii="Arial" w:hAnsi="Arial" w:cs="Arial" w:hint="eastAsia"/>
          <w:b/>
          <w:kern w:val="0"/>
          <w:sz w:val="23"/>
          <w:szCs w:val="23"/>
        </w:rPr>
        <w:t>AUM</w:t>
      </w:r>
      <w:r w:rsidR="00297B15" w:rsidRPr="00865B2B">
        <w:rPr>
          <w:rFonts w:ascii="Arial" w:hAnsi="Arial" w:cs="Arial" w:hint="eastAsia"/>
          <w:b/>
          <w:kern w:val="0"/>
          <w:sz w:val="23"/>
          <w:szCs w:val="23"/>
        </w:rPr>
        <w:t>持续增长</w:t>
      </w:r>
      <w:bookmarkEnd w:id="7"/>
    </w:p>
    <w:p w14:paraId="3DA8B02B" w14:textId="2E255BCC" w:rsidR="00933488" w:rsidRPr="00935014" w:rsidRDefault="008F4A22" w:rsidP="00481318">
      <w:pPr>
        <w:numPr>
          <w:ilvl w:val="0"/>
          <w:numId w:val="4"/>
        </w:numPr>
        <w:pBdr>
          <w:top w:val="single" w:sz="4" w:space="1" w:color="auto"/>
          <w:left w:val="single" w:sz="4" w:space="4" w:color="auto"/>
          <w:bottom w:val="single" w:sz="4" w:space="1" w:color="auto"/>
          <w:right w:val="single" w:sz="4" w:space="13" w:color="auto"/>
        </w:pBdr>
        <w:spacing w:beforeLines="50" w:before="180" w:afterLines="50" w:after="180"/>
        <w:rPr>
          <w:rFonts w:ascii="Arial" w:hAnsi="Arial" w:cs="Arial"/>
          <w:kern w:val="0"/>
          <w:sz w:val="22"/>
          <w:szCs w:val="21"/>
        </w:rPr>
      </w:pPr>
      <w:r w:rsidRPr="00935014">
        <w:rPr>
          <w:rFonts w:ascii="Arial" w:hAnsi="Arial" w:cs="Arial" w:hint="eastAsia"/>
          <w:kern w:val="0"/>
          <w:sz w:val="22"/>
          <w:szCs w:val="21"/>
        </w:rPr>
        <w:t>零售客户数</w:t>
      </w:r>
      <w:r w:rsidR="00935014" w:rsidRPr="00935014">
        <w:rPr>
          <w:rFonts w:ascii="Arial" w:hAnsi="Arial" w:cs="Arial"/>
          <w:kern w:val="0"/>
          <w:sz w:val="22"/>
          <w:szCs w:val="21"/>
        </w:rPr>
        <w:t>2.06</w:t>
      </w:r>
      <w:r w:rsidRPr="00935014">
        <w:rPr>
          <w:rFonts w:ascii="Arial" w:hAnsi="Arial" w:cs="Arial" w:hint="eastAsia"/>
          <w:kern w:val="0"/>
          <w:sz w:val="22"/>
          <w:szCs w:val="21"/>
        </w:rPr>
        <w:t>亿户，较上年末增长</w:t>
      </w:r>
      <w:r w:rsidR="00935014" w:rsidRPr="00935014">
        <w:rPr>
          <w:rFonts w:ascii="Arial" w:hAnsi="Arial" w:cs="Arial"/>
          <w:kern w:val="0"/>
          <w:sz w:val="22"/>
          <w:szCs w:val="21"/>
        </w:rPr>
        <w:t>4.57</w:t>
      </w:r>
      <w:r w:rsidRPr="00935014">
        <w:rPr>
          <w:rFonts w:ascii="Arial" w:hAnsi="Arial" w:cs="Arial" w:hint="eastAsia"/>
          <w:kern w:val="0"/>
          <w:sz w:val="22"/>
          <w:szCs w:val="21"/>
        </w:rPr>
        <w:t>%</w:t>
      </w:r>
      <w:r w:rsidRPr="00935014">
        <w:rPr>
          <w:rFonts w:ascii="Arial" w:hAnsi="Arial" w:cs="Arial" w:hint="eastAsia"/>
          <w:kern w:val="0"/>
          <w:sz w:val="22"/>
          <w:szCs w:val="21"/>
        </w:rPr>
        <w:t>；</w:t>
      </w:r>
      <w:r w:rsidRPr="00935014">
        <w:rPr>
          <w:rFonts w:ascii="Arial" w:hAnsi="Arial" w:cs="Arial"/>
          <w:kern w:val="0"/>
          <w:sz w:val="22"/>
          <w:szCs w:val="21"/>
        </w:rPr>
        <w:t xml:space="preserve"> </w:t>
      </w:r>
    </w:p>
    <w:p w14:paraId="0B7B4907" w14:textId="6E5B79BE" w:rsidR="00D04781" w:rsidRPr="00935014" w:rsidRDefault="005E506A" w:rsidP="009E244A">
      <w:pPr>
        <w:numPr>
          <w:ilvl w:val="0"/>
          <w:numId w:val="4"/>
        </w:numPr>
        <w:pBdr>
          <w:top w:val="single" w:sz="4" w:space="1" w:color="auto"/>
          <w:left w:val="single" w:sz="4" w:space="4" w:color="auto"/>
          <w:bottom w:val="single" w:sz="4" w:space="1" w:color="auto"/>
          <w:right w:val="single" w:sz="4" w:space="13" w:color="auto"/>
        </w:pBdr>
        <w:spacing w:beforeLines="50" w:before="180" w:afterLines="50" w:after="180"/>
        <w:rPr>
          <w:rFonts w:ascii="Arial" w:hAnsi="Arial" w:cs="Arial"/>
          <w:kern w:val="0"/>
          <w:sz w:val="22"/>
          <w:szCs w:val="21"/>
        </w:rPr>
      </w:pPr>
      <w:bookmarkStart w:id="8" w:name="_Hlk149156686"/>
      <w:bookmarkStart w:id="9" w:name="_Hlk149156672"/>
      <w:r w:rsidRPr="00935014">
        <w:rPr>
          <w:rFonts w:ascii="Arial" w:hAnsi="Arial" w:cs="Arial" w:hint="eastAsia"/>
          <w:kern w:val="0"/>
          <w:sz w:val="22"/>
          <w:szCs w:val="21"/>
        </w:rPr>
        <w:t>零售</w:t>
      </w:r>
      <w:r w:rsidRPr="00935014">
        <w:rPr>
          <w:rFonts w:ascii="Arial" w:hAnsi="Arial" w:cs="Arial" w:hint="eastAsia"/>
          <w:kern w:val="0"/>
          <w:sz w:val="22"/>
          <w:szCs w:val="21"/>
        </w:rPr>
        <w:t xml:space="preserve">AUM </w:t>
      </w:r>
      <w:r w:rsidR="00935014" w:rsidRPr="00935014">
        <w:rPr>
          <w:rFonts w:ascii="Arial" w:hAnsi="Arial" w:cs="Arial" w:hint="eastAsia"/>
          <w:kern w:val="0"/>
          <w:sz w:val="22"/>
          <w:szCs w:val="21"/>
        </w:rPr>
        <w:t>14.34</w:t>
      </w:r>
      <w:proofErr w:type="gramStart"/>
      <w:r w:rsidRPr="00935014">
        <w:rPr>
          <w:rFonts w:ascii="Arial" w:hAnsi="Arial" w:cs="Arial" w:hint="eastAsia"/>
          <w:kern w:val="0"/>
          <w:sz w:val="22"/>
          <w:szCs w:val="21"/>
        </w:rPr>
        <w:t>万亿</w:t>
      </w:r>
      <w:proofErr w:type="gramEnd"/>
      <w:r w:rsidRPr="00935014">
        <w:rPr>
          <w:rFonts w:ascii="Arial" w:hAnsi="Arial" w:cs="Arial" w:hint="eastAsia"/>
          <w:kern w:val="0"/>
          <w:sz w:val="22"/>
          <w:szCs w:val="21"/>
        </w:rPr>
        <w:t>元，较上年末增加</w:t>
      </w:r>
      <w:r w:rsidR="00935014" w:rsidRPr="00935014">
        <w:rPr>
          <w:rFonts w:ascii="Arial" w:hAnsi="Arial" w:cs="Arial"/>
          <w:kern w:val="0"/>
          <w:sz w:val="22"/>
          <w:szCs w:val="21"/>
        </w:rPr>
        <w:t>10,238.16</w:t>
      </w:r>
      <w:r w:rsidR="008B0ABA" w:rsidRPr="00935014">
        <w:rPr>
          <w:rFonts w:ascii="Arial" w:hAnsi="Arial" w:cs="Arial" w:hint="eastAsia"/>
          <w:kern w:val="0"/>
          <w:sz w:val="22"/>
          <w:szCs w:val="21"/>
        </w:rPr>
        <w:t>亿元，增幅</w:t>
      </w:r>
      <w:r w:rsidR="00935014" w:rsidRPr="00935014">
        <w:rPr>
          <w:rFonts w:ascii="Arial" w:hAnsi="Arial" w:cs="Arial"/>
          <w:kern w:val="0"/>
          <w:sz w:val="22"/>
          <w:szCs w:val="21"/>
        </w:rPr>
        <w:t>7.69</w:t>
      </w:r>
      <w:r w:rsidR="008B0ABA" w:rsidRPr="00935014">
        <w:rPr>
          <w:rFonts w:ascii="Arial" w:hAnsi="Arial" w:cs="Arial" w:hint="eastAsia"/>
          <w:kern w:val="0"/>
          <w:sz w:val="22"/>
          <w:szCs w:val="21"/>
        </w:rPr>
        <w:t>%</w:t>
      </w:r>
      <w:bookmarkEnd w:id="8"/>
      <w:r w:rsidR="008B0ABA" w:rsidRPr="00935014">
        <w:rPr>
          <w:rFonts w:ascii="Arial" w:hAnsi="Arial" w:cs="Arial" w:hint="eastAsia"/>
          <w:kern w:val="0"/>
          <w:sz w:val="22"/>
          <w:szCs w:val="21"/>
        </w:rPr>
        <w:t>。</w:t>
      </w:r>
    </w:p>
    <w:bookmarkEnd w:id="9"/>
    <w:p w14:paraId="13AD3822" w14:textId="77777777" w:rsidR="00FF0945" w:rsidRPr="00FF0945" w:rsidRDefault="00FF0945" w:rsidP="00FF0945">
      <w:pPr>
        <w:rPr>
          <w:rFonts w:ascii="Arial" w:hAnsi="Arial" w:cs="Arial"/>
          <w:i/>
          <w:sz w:val="18"/>
          <w:szCs w:val="18"/>
        </w:rPr>
      </w:pPr>
      <w:r w:rsidRPr="00FF0945">
        <w:rPr>
          <w:rFonts w:ascii="Arial" w:hAnsi="Arial" w:cs="Arial"/>
          <w:i/>
          <w:sz w:val="18"/>
          <w:szCs w:val="18"/>
        </w:rPr>
        <w:lastRenderedPageBreak/>
        <w:t>注</w:t>
      </w:r>
      <w:r w:rsidRPr="00FF0945">
        <w:rPr>
          <w:rFonts w:ascii="Arial" w:hAnsi="Arial" w:cs="Arial"/>
          <w:i/>
          <w:sz w:val="18"/>
          <w:szCs w:val="18"/>
        </w:rPr>
        <w:t>1</w:t>
      </w:r>
      <w:r w:rsidRPr="00FF0945">
        <w:rPr>
          <w:rFonts w:ascii="Arial" w:hAnsi="Arial" w:cs="Arial"/>
          <w:i/>
          <w:sz w:val="18"/>
          <w:szCs w:val="18"/>
        </w:rPr>
        <w:t>：除特别标示外，以上数据均为本集团口径数据，及以人民币为单位。</w:t>
      </w:r>
    </w:p>
    <w:p w14:paraId="774F38BB" w14:textId="359723B8" w:rsidR="00FF0945" w:rsidRPr="00FF0945" w:rsidRDefault="00FF0945">
      <w:pPr>
        <w:rPr>
          <w:rFonts w:ascii="Arial" w:hAnsi="Arial" w:cs="Arial"/>
          <w:i/>
          <w:sz w:val="18"/>
          <w:szCs w:val="18"/>
        </w:rPr>
      </w:pPr>
      <w:r w:rsidRPr="00FF0945">
        <w:rPr>
          <w:rFonts w:ascii="Arial" w:hAnsi="Arial" w:cs="Arial"/>
          <w:i/>
          <w:sz w:val="18"/>
          <w:szCs w:val="18"/>
        </w:rPr>
        <w:t>注</w:t>
      </w:r>
      <w:r w:rsidRPr="00FF0945">
        <w:rPr>
          <w:rFonts w:ascii="Arial" w:hAnsi="Arial" w:cs="Arial"/>
          <w:i/>
          <w:sz w:val="18"/>
          <w:szCs w:val="18"/>
        </w:rPr>
        <w:t>2</w:t>
      </w:r>
      <w:r w:rsidRPr="00FF0945">
        <w:rPr>
          <w:rFonts w:ascii="Arial" w:hAnsi="Arial" w:cs="Arial"/>
          <w:i/>
          <w:sz w:val="18"/>
          <w:szCs w:val="18"/>
        </w:rPr>
        <w:t>：招商银行</w:t>
      </w:r>
      <w:r w:rsidR="004814BC">
        <w:rPr>
          <w:rFonts w:ascii="Arial" w:hAnsi="Arial" w:cs="Arial" w:hint="eastAsia"/>
          <w:i/>
          <w:sz w:val="18"/>
          <w:szCs w:val="18"/>
        </w:rPr>
        <w:t>A</w:t>
      </w:r>
      <w:r w:rsidRPr="00FF0945">
        <w:rPr>
          <w:rFonts w:ascii="Arial" w:hAnsi="Arial" w:cs="Arial"/>
          <w:i/>
          <w:sz w:val="18"/>
          <w:szCs w:val="18"/>
        </w:rPr>
        <w:t>股的</w:t>
      </w:r>
      <w:r w:rsidRPr="00FF0945">
        <w:rPr>
          <w:rFonts w:ascii="Arial" w:hAnsi="Arial" w:cs="Arial"/>
          <w:i/>
          <w:sz w:val="18"/>
          <w:szCs w:val="18"/>
        </w:rPr>
        <w:t>202</w:t>
      </w:r>
      <w:r w:rsidR="00011E73">
        <w:rPr>
          <w:rFonts w:ascii="Arial" w:hAnsi="Arial" w:cs="Arial" w:hint="eastAsia"/>
          <w:i/>
          <w:sz w:val="18"/>
          <w:szCs w:val="18"/>
        </w:rPr>
        <w:t>4</w:t>
      </w:r>
      <w:r w:rsidRPr="00FF0945">
        <w:rPr>
          <w:rFonts w:ascii="Arial" w:hAnsi="Arial" w:cs="Arial"/>
          <w:i/>
          <w:sz w:val="18"/>
          <w:szCs w:val="18"/>
        </w:rPr>
        <w:t>年第</w:t>
      </w:r>
      <w:r w:rsidR="00F6010D">
        <w:rPr>
          <w:rFonts w:ascii="Arial" w:hAnsi="Arial" w:cs="Arial" w:hint="eastAsia"/>
          <w:i/>
          <w:sz w:val="18"/>
          <w:szCs w:val="18"/>
        </w:rPr>
        <w:t>三</w:t>
      </w:r>
      <w:r w:rsidRPr="00FF0945">
        <w:rPr>
          <w:rFonts w:ascii="Arial" w:hAnsi="Arial" w:cs="Arial"/>
          <w:i/>
          <w:sz w:val="18"/>
          <w:szCs w:val="18"/>
        </w:rPr>
        <w:t>季度财务报告按</w:t>
      </w:r>
      <w:r w:rsidR="00A2778F">
        <w:rPr>
          <w:rFonts w:ascii="Arial" w:hAnsi="Arial" w:cs="Arial" w:hint="eastAsia"/>
          <w:i/>
          <w:sz w:val="18"/>
          <w:szCs w:val="18"/>
        </w:rPr>
        <w:t>中国会计</w:t>
      </w:r>
      <w:r w:rsidRPr="00FF0945">
        <w:rPr>
          <w:rFonts w:ascii="Arial" w:hAnsi="Arial" w:cs="Arial"/>
          <w:i/>
          <w:sz w:val="18"/>
          <w:szCs w:val="18"/>
        </w:rPr>
        <w:t>准则编制，按</w:t>
      </w:r>
      <w:r w:rsidR="004814BC">
        <w:rPr>
          <w:rFonts w:ascii="Arial" w:hAnsi="Arial" w:cs="Arial" w:hint="eastAsia"/>
          <w:i/>
          <w:sz w:val="18"/>
          <w:szCs w:val="18"/>
        </w:rPr>
        <w:t>国际</w:t>
      </w:r>
      <w:r w:rsidR="00A2778F">
        <w:rPr>
          <w:rFonts w:ascii="Arial" w:hAnsi="Arial" w:cs="Arial" w:hint="eastAsia"/>
          <w:i/>
          <w:sz w:val="18"/>
          <w:szCs w:val="18"/>
        </w:rPr>
        <w:t>财务报告</w:t>
      </w:r>
      <w:r w:rsidRPr="00FF0945">
        <w:rPr>
          <w:rFonts w:ascii="Arial" w:hAnsi="Arial" w:cs="Arial"/>
          <w:i/>
          <w:sz w:val="18"/>
          <w:szCs w:val="18"/>
        </w:rPr>
        <w:t>准则编制的</w:t>
      </w:r>
      <w:r w:rsidR="00A2778F">
        <w:rPr>
          <w:rFonts w:ascii="Arial" w:hAnsi="Arial" w:cs="Arial" w:hint="eastAsia"/>
          <w:i/>
          <w:sz w:val="18"/>
          <w:szCs w:val="18"/>
        </w:rPr>
        <w:t>H</w:t>
      </w:r>
      <w:r w:rsidRPr="00FF0945">
        <w:rPr>
          <w:rFonts w:ascii="Arial" w:hAnsi="Arial" w:cs="Arial"/>
          <w:i/>
          <w:sz w:val="18"/>
          <w:szCs w:val="18"/>
        </w:rPr>
        <w:t>股财务资料如果与</w:t>
      </w:r>
      <w:r w:rsidR="00A2778F">
        <w:rPr>
          <w:rFonts w:ascii="Arial" w:hAnsi="Arial" w:cs="Arial" w:hint="eastAsia"/>
          <w:i/>
          <w:sz w:val="18"/>
          <w:szCs w:val="18"/>
        </w:rPr>
        <w:t>A</w:t>
      </w:r>
      <w:r w:rsidRPr="00FF0945">
        <w:rPr>
          <w:rFonts w:ascii="Arial" w:hAnsi="Arial" w:cs="Arial"/>
          <w:i/>
          <w:sz w:val="18"/>
          <w:szCs w:val="18"/>
        </w:rPr>
        <w:t>股财务数据不同，则另行标示。</w:t>
      </w:r>
    </w:p>
    <w:p w14:paraId="3540499B" w14:textId="77777777" w:rsidR="00BC434B" w:rsidRPr="00FF0945" w:rsidRDefault="00BC434B">
      <w:pPr>
        <w:rPr>
          <w:rFonts w:ascii="Arial" w:hAnsi="Arial" w:cs="Arial"/>
          <w:sz w:val="23"/>
          <w:szCs w:val="23"/>
        </w:rPr>
      </w:pPr>
    </w:p>
    <w:p w14:paraId="7E5499E5" w14:textId="73FAB820" w:rsidR="00BC434B" w:rsidRPr="00FF0945" w:rsidRDefault="007E43C1">
      <w:pPr>
        <w:rPr>
          <w:rFonts w:ascii="Arial" w:hAnsi="Arial" w:cs="Arial"/>
          <w:sz w:val="23"/>
          <w:szCs w:val="23"/>
        </w:rPr>
      </w:pPr>
      <w:r w:rsidRPr="00FF0945">
        <w:rPr>
          <w:rFonts w:ascii="Arial" w:hAnsi="Arial" w:cs="Arial"/>
          <w:color w:val="000000"/>
          <w:sz w:val="23"/>
          <w:szCs w:val="23"/>
        </w:rPr>
        <w:t>202</w:t>
      </w:r>
      <w:r w:rsidR="00EE108B">
        <w:rPr>
          <w:rFonts w:ascii="Arial" w:hAnsi="Arial" w:cs="Arial" w:hint="eastAsia"/>
          <w:color w:val="000000"/>
          <w:sz w:val="23"/>
          <w:szCs w:val="23"/>
        </w:rPr>
        <w:t>4</w:t>
      </w:r>
      <w:r w:rsidR="00803252" w:rsidRPr="00FF0945">
        <w:rPr>
          <w:rFonts w:ascii="Arial" w:hAnsi="Arial" w:cs="Arial"/>
          <w:color w:val="000000"/>
          <w:sz w:val="23"/>
          <w:szCs w:val="23"/>
        </w:rPr>
        <w:t>年</w:t>
      </w:r>
      <w:r w:rsidR="00025B92">
        <w:rPr>
          <w:rFonts w:ascii="Arial" w:hAnsi="Arial" w:cs="Arial"/>
          <w:color w:val="000000"/>
          <w:sz w:val="23"/>
          <w:szCs w:val="23"/>
        </w:rPr>
        <w:t>10</w:t>
      </w:r>
      <w:r w:rsidR="00BC434B" w:rsidRPr="00FF0945">
        <w:rPr>
          <w:rFonts w:ascii="Arial" w:hAnsi="Arial" w:cs="Arial"/>
          <w:color w:val="000000"/>
          <w:sz w:val="23"/>
          <w:szCs w:val="23"/>
        </w:rPr>
        <w:t>月</w:t>
      </w:r>
      <w:r w:rsidRPr="00FF0945">
        <w:rPr>
          <w:rFonts w:ascii="Arial" w:hAnsi="Arial" w:cs="Arial"/>
          <w:color w:val="000000"/>
          <w:sz w:val="23"/>
          <w:szCs w:val="23"/>
        </w:rPr>
        <w:t>2</w:t>
      </w:r>
      <w:r w:rsidR="00EE108B">
        <w:rPr>
          <w:rFonts w:ascii="Arial" w:hAnsi="Arial" w:cs="Arial" w:hint="eastAsia"/>
          <w:color w:val="000000"/>
          <w:sz w:val="23"/>
          <w:szCs w:val="23"/>
        </w:rPr>
        <w:t>9</w:t>
      </w:r>
      <w:r w:rsidR="00BC434B" w:rsidRPr="00FF0945">
        <w:rPr>
          <w:rFonts w:ascii="Arial" w:hAnsi="Arial" w:cs="Arial"/>
          <w:color w:val="000000"/>
          <w:sz w:val="23"/>
          <w:szCs w:val="23"/>
        </w:rPr>
        <w:t>日</w:t>
      </w:r>
      <w:r w:rsidR="00BC434B" w:rsidRPr="00FF0945">
        <w:rPr>
          <w:rFonts w:ascii="Arial" w:hAnsi="Arial" w:cs="Arial"/>
          <w:sz w:val="23"/>
          <w:szCs w:val="23"/>
        </w:rPr>
        <w:t xml:space="preserve"> ─ </w:t>
      </w:r>
      <w:r w:rsidR="00BC434B" w:rsidRPr="00FF0945">
        <w:rPr>
          <w:rFonts w:ascii="Arial" w:hAnsi="Arial" w:cs="Arial"/>
          <w:sz w:val="23"/>
          <w:szCs w:val="23"/>
        </w:rPr>
        <w:t>招商银行（</w:t>
      </w:r>
      <w:r w:rsidR="00F36025">
        <w:rPr>
          <w:rFonts w:ascii="Arial" w:hAnsi="Arial" w:cs="Arial" w:hint="eastAsia"/>
          <w:sz w:val="23"/>
          <w:szCs w:val="23"/>
        </w:rPr>
        <w:t>“</w:t>
      </w:r>
      <w:r w:rsidR="00BC434B" w:rsidRPr="00FF0945">
        <w:rPr>
          <w:rFonts w:ascii="Arial" w:hAnsi="Arial" w:cs="Arial"/>
          <w:sz w:val="23"/>
          <w:szCs w:val="23"/>
        </w:rPr>
        <w:t>招行</w:t>
      </w:r>
      <w:r w:rsidR="00F36025">
        <w:rPr>
          <w:rFonts w:ascii="Arial" w:hAnsi="Arial" w:cs="Arial" w:hint="eastAsia"/>
          <w:sz w:val="23"/>
          <w:szCs w:val="23"/>
        </w:rPr>
        <w:t>”</w:t>
      </w:r>
      <w:r w:rsidR="00BC434B" w:rsidRPr="00FF0945">
        <w:rPr>
          <w:rFonts w:ascii="Arial" w:hAnsi="Arial" w:cs="Arial"/>
          <w:sz w:val="23"/>
          <w:szCs w:val="23"/>
        </w:rPr>
        <w:t>或</w:t>
      </w:r>
      <w:r w:rsidR="00F36025">
        <w:rPr>
          <w:rFonts w:ascii="Arial" w:hAnsi="Arial" w:cs="Arial" w:hint="eastAsia"/>
          <w:sz w:val="23"/>
          <w:szCs w:val="23"/>
        </w:rPr>
        <w:t>“</w:t>
      </w:r>
      <w:r w:rsidR="00F36025" w:rsidRPr="00FF0945">
        <w:rPr>
          <w:rFonts w:ascii="Arial" w:hAnsi="Arial" w:cs="Arial"/>
          <w:sz w:val="23"/>
          <w:szCs w:val="23"/>
        </w:rPr>
        <w:t>本公司</w:t>
      </w:r>
      <w:r w:rsidR="00F36025">
        <w:rPr>
          <w:rFonts w:ascii="Arial" w:hAnsi="Arial" w:cs="Arial" w:hint="eastAsia"/>
          <w:sz w:val="23"/>
          <w:szCs w:val="23"/>
        </w:rPr>
        <w:t>”</w:t>
      </w:r>
      <w:r w:rsidR="00BC434B" w:rsidRPr="00FF0945">
        <w:rPr>
          <w:rFonts w:ascii="Arial" w:hAnsi="Arial" w:cs="Arial"/>
          <w:sz w:val="23"/>
          <w:szCs w:val="23"/>
        </w:rPr>
        <w:t>；上海：</w:t>
      </w:r>
      <w:r w:rsidR="00BC434B" w:rsidRPr="00FF0945">
        <w:rPr>
          <w:rFonts w:ascii="Arial" w:hAnsi="Arial" w:cs="Arial"/>
          <w:sz w:val="23"/>
          <w:szCs w:val="23"/>
        </w:rPr>
        <w:t>600036</w:t>
      </w:r>
      <w:r w:rsidR="00BC434B" w:rsidRPr="00FF0945">
        <w:rPr>
          <w:rFonts w:ascii="Arial" w:hAnsi="Arial" w:cs="Arial"/>
          <w:sz w:val="23"/>
          <w:szCs w:val="23"/>
        </w:rPr>
        <w:t>；香港：</w:t>
      </w:r>
      <w:r w:rsidR="00BC434B" w:rsidRPr="00FF0945">
        <w:rPr>
          <w:rFonts w:ascii="Arial" w:hAnsi="Arial" w:cs="Arial"/>
          <w:sz w:val="23"/>
          <w:szCs w:val="23"/>
        </w:rPr>
        <w:t>3968</w:t>
      </w:r>
      <w:r w:rsidR="00BC434B" w:rsidRPr="00FF0945">
        <w:rPr>
          <w:rFonts w:ascii="Arial" w:hAnsi="Arial" w:cs="Arial"/>
          <w:sz w:val="23"/>
          <w:szCs w:val="23"/>
        </w:rPr>
        <w:t>；连同其附属公司合称</w:t>
      </w:r>
      <w:r w:rsidR="00F36025">
        <w:rPr>
          <w:rFonts w:ascii="Arial" w:hAnsi="Arial" w:cs="Arial" w:hint="eastAsia"/>
          <w:sz w:val="23"/>
          <w:szCs w:val="23"/>
        </w:rPr>
        <w:t>“</w:t>
      </w:r>
      <w:r w:rsidR="00F36025" w:rsidRPr="00FF0945">
        <w:rPr>
          <w:rFonts w:ascii="Arial" w:hAnsi="Arial" w:cs="Arial"/>
          <w:sz w:val="23"/>
          <w:szCs w:val="23"/>
        </w:rPr>
        <w:t>本集团</w:t>
      </w:r>
      <w:r w:rsidR="00F36025">
        <w:rPr>
          <w:rFonts w:ascii="Arial" w:hAnsi="Arial" w:cs="Arial" w:hint="eastAsia"/>
          <w:sz w:val="23"/>
          <w:szCs w:val="23"/>
        </w:rPr>
        <w:t>”</w:t>
      </w:r>
      <w:r w:rsidR="00BC434B" w:rsidRPr="00FF0945">
        <w:rPr>
          <w:rFonts w:ascii="Arial" w:hAnsi="Arial" w:cs="Arial"/>
          <w:sz w:val="23"/>
          <w:szCs w:val="23"/>
        </w:rPr>
        <w:t>），今天公布</w:t>
      </w:r>
      <w:r w:rsidRPr="00FF0945">
        <w:rPr>
          <w:rFonts w:ascii="Arial" w:hAnsi="Arial" w:cs="Arial"/>
          <w:sz w:val="23"/>
          <w:szCs w:val="23"/>
        </w:rPr>
        <w:t>202</w:t>
      </w:r>
      <w:r w:rsidR="00EE108B">
        <w:rPr>
          <w:rFonts w:ascii="Arial" w:hAnsi="Arial" w:cs="Arial" w:hint="eastAsia"/>
          <w:sz w:val="23"/>
          <w:szCs w:val="23"/>
        </w:rPr>
        <w:t>4</w:t>
      </w:r>
      <w:r w:rsidR="00BC434B" w:rsidRPr="00FF0945">
        <w:rPr>
          <w:rFonts w:ascii="Arial" w:hAnsi="Arial" w:cs="Arial"/>
          <w:sz w:val="23"/>
          <w:szCs w:val="23"/>
        </w:rPr>
        <w:t>年第</w:t>
      </w:r>
      <w:r w:rsidR="00025B92">
        <w:rPr>
          <w:rFonts w:ascii="Arial" w:hAnsi="Arial" w:cs="Arial" w:hint="eastAsia"/>
          <w:sz w:val="23"/>
          <w:szCs w:val="23"/>
        </w:rPr>
        <w:t>三</w:t>
      </w:r>
      <w:r w:rsidR="00BC434B" w:rsidRPr="00FF0945">
        <w:rPr>
          <w:rFonts w:ascii="Arial" w:hAnsi="Arial" w:cs="Arial"/>
          <w:sz w:val="23"/>
          <w:szCs w:val="23"/>
        </w:rPr>
        <w:t>季度未经审计业绩。</w:t>
      </w:r>
    </w:p>
    <w:p w14:paraId="0EA0D730" w14:textId="77777777" w:rsidR="00BC434B" w:rsidRPr="00FF0945" w:rsidRDefault="00BC434B">
      <w:pPr>
        <w:rPr>
          <w:rFonts w:ascii="Arial" w:hAnsi="Arial" w:cs="Arial"/>
          <w:sz w:val="23"/>
          <w:szCs w:val="23"/>
        </w:rPr>
      </w:pPr>
    </w:p>
    <w:p w14:paraId="4B6BFC9E" w14:textId="0258DD27" w:rsidR="006B7542" w:rsidRPr="00FF0945" w:rsidRDefault="007E43C1">
      <w:pPr>
        <w:rPr>
          <w:rFonts w:ascii="Arial" w:hAnsi="Arial" w:cs="Arial"/>
          <w:sz w:val="23"/>
          <w:szCs w:val="23"/>
        </w:rPr>
      </w:pPr>
      <w:r w:rsidRPr="006B7542">
        <w:rPr>
          <w:rFonts w:ascii="Arial" w:hAnsi="Arial" w:cs="Arial" w:hint="eastAsia"/>
          <w:sz w:val="23"/>
          <w:szCs w:val="23"/>
        </w:rPr>
        <w:t>202</w:t>
      </w:r>
      <w:r w:rsidR="00EE108B">
        <w:rPr>
          <w:rFonts w:ascii="Arial" w:hAnsi="Arial" w:cs="Arial" w:hint="eastAsia"/>
          <w:sz w:val="23"/>
          <w:szCs w:val="23"/>
        </w:rPr>
        <w:t>4</w:t>
      </w:r>
      <w:r w:rsidR="006B7542" w:rsidRPr="006B7542">
        <w:rPr>
          <w:rFonts w:ascii="Arial" w:hAnsi="Arial" w:cs="Arial" w:hint="eastAsia"/>
          <w:sz w:val="23"/>
          <w:szCs w:val="23"/>
        </w:rPr>
        <w:t>年以来，</w:t>
      </w:r>
      <w:r w:rsidRPr="007E43C1">
        <w:rPr>
          <w:rFonts w:ascii="Arial" w:hAnsi="Arial" w:cs="Arial" w:hint="eastAsia"/>
          <w:sz w:val="23"/>
          <w:szCs w:val="23"/>
        </w:rPr>
        <w:t>招商银行以“打造价值银行”为战略目标，秉承“质量、效益、规模”动态均衡发展理念，报告期各项业务稳健开展，资产负债规模和净利润稳步增长，资产质量总体稳定。</w:t>
      </w:r>
    </w:p>
    <w:p w14:paraId="08C70B60" w14:textId="3C929B16" w:rsidR="00BC434B" w:rsidRPr="00FF0945" w:rsidRDefault="0053640C">
      <w:pPr>
        <w:rPr>
          <w:rFonts w:ascii="Arial" w:hAnsi="Arial" w:cs="Arial"/>
          <w:sz w:val="23"/>
          <w:szCs w:val="23"/>
        </w:rPr>
      </w:pPr>
      <w:r w:rsidRPr="00FF0945">
        <w:rPr>
          <w:rFonts w:ascii="Arial" w:hAnsi="Arial" w:cs="Arial"/>
          <w:noProof/>
          <w:sz w:val="23"/>
          <w:szCs w:val="23"/>
        </w:rPr>
        <mc:AlternateContent>
          <mc:Choice Requires="wps">
            <w:drawing>
              <wp:anchor distT="0" distB="0" distL="114300" distR="114300" simplePos="0" relativeHeight="251656704" behindDoc="1" locked="0" layoutInCell="1" allowOverlap="1" wp14:anchorId="3F92CA7F" wp14:editId="34D3CE00">
                <wp:simplePos x="0" y="0"/>
                <wp:positionH relativeFrom="column">
                  <wp:posOffset>-20320</wp:posOffset>
                </wp:positionH>
                <wp:positionV relativeFrom="paragraph">
                  <wp:posOffset>204470</wp:posOffset>
                </wp:positionV>
                <wp:extent cx="1802130" cy="304800"/>
                <wp:effectExtent l="0" t="0" r="7620" b="0"/>
                <wp:wrapNone/>
                <wp:docPr id="919483698" name="自选图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130" cy="304800"/>
                        </a:xfrm>
                        <a:prstGeom prst="roundRect">
                          <a:avLst>
                            <a:gd name="adj" fmla="val 16667"/>
                          </a:avLst>
                        </a:prstGeom>
                        <a:gradFill rotWithShape="0">
                          <a:gsLst>
                            <a:gs pos="0">
                              <a:srgbClr val="FF0000"/>
                            </a:gs>
                            <a:gs pos="100000">
                              <a:srgbClr val="FF0000">
                                <a:gamma/>
                                <a:tint val="20000"/>
                                <a:invGamma/>
                              </a:srgbClr>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A1E0A4" id="自选图形 2" o:spid="_x0000_s1026" style="position:absolute;margin-left:-1.6pt;margin-top:16.1pt;width:141.9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cIHWgIAAKgEAAAOAAAAZHJzL2Uyb0RvYy54bWysVN9v0zAQfkfif7D8zpJ0pRvR0mna1AmJ&#10;X2Ignq+Okxhsn7HdpuOv5+ykZQLxguiDa/t83919312urg9Gs730QaFteHVWciatwFbZvuGfP21e&#10;XHIWItgWNFrZ8EcZ+PX6+bOr0dVygQPqVnpGIDbUo2v4EKOriyKIQRoIZ+ikJWOH3kCko++L1sNI&#10;6EYXi7JcFSP61nkUMgS6vZuMfJ3xu06K+L7rgoxMN5xyi3n1ed2mtVhfQd17cIMScxrwD1kYUJaC&#10;nqDuIALbefUHlFHCY8Aungk0BXadEjLXQNVU5W/VPAzgZK6FyAnuRFP4f7Di3f7BffAp9eDeoPgW&#10;mMXbAWwvb7zHcZDQUrgqEVWMLtQnh3QI5Mq241tsSVrYRcwcHDpvEiBVxw6Z6scT1fIQmaDL6rJc&#10;VOekiCDbebm8LLMWBdRHb+dDvJdoWNo03OPOth9JzxwC9m9CzHy3zIJJ0duvnHVGk3p70KxarVYX&#10;OWmo58eEfcSclWo3SmvmMX5RcchkpzyzMRzxA3NIBEzXwffbW+0ZRWj4ZlPSb47Rh8ltel0ly99d&#10;8lMwBnL3RWXjhEgNPQFCrez+fn5Bec9xSQLqMIqU/+YMtbKM5Gr44iK5E6VBgJbtUbTck7nSFFbb&#10;tFpMlSdJp5usbBIzzU2ot9g+krBETCo8jTdtBvQ/OBtpVBoevu/AS870a0vcvKqWyzRb+bB8ebGg&#10;g39q2T61gBUE1fDIKe20vY3TPO6cV/1AkaosgcUbaqhOxWPnTVnNbUjjMNEwjW6at6fn/OrXB2b9&#10;EwAA//8DAFBLAwQUAAYACAAAACEAhKkgc90AAAAIAQAADwAAAGRycy9kb3ducmV2LnhtbEyPwU7D&#10;MBBE70j8g7WVuLV2XRSiEKeqInqAE7R8wDY2cdR4HcVumvL1mBOcRqsZzbwtt7Pr2WTG0HlSsF4J&#10;YIYarztqFXwe98scWIhIGntPRsHNBNhW93clFtpf6cNMh9iyVEKhQAU2xqHgPDTWOAwrPxhK3pcf&#10;HcZ0ji3XI15Tueu5FCLjDjtKCxYHU1vTnA8Xp+DR1u+vx2z/8v32VOPZ3aYdIVfqYTHvnoFFM8e/&#10;MPziJ3SoEtPJX0gH1itYbmRKKtjIpMmXuciAnRTkQgKvSv7/geoHAAD//wMAUEsBAi0AFAAGAAgA&#10;AAAhALaDOJL+AAAA4QEAABMAAAAAAAAAAAAAAAAAAAAAAFtDb250ZW50X1R5cGVzXS54bWxQSwEC&#10;LQAUAAYACAAAACEAOP0h/9YAAACUAQAACwAAAAAAAAAAAAAAAAAvAQAAX3JlbHMvLnJlbHNQSwEC&#10;LQAUAAYACAAAACEAXwXCB1oCAACoBAAADgAAAAAAAAAAAAAAAAAuAgAAZHJzL2Uyb0RvYy54bWxQ&#10;SwECLQAUAAYACAAAACEAhKkgc90AAAAIAQAADwAAAAAAAAAAAAAAAAC0BAAAZHJzL2Rvd25yZXYu&#10;eG1sUEsFBgAAAAAEAAQA8wAAAL4FAAAAAA==&#10;" fillcolor="red" stroked="f">
                <v:fill color2="#fcc" angle="45" focus="100%" type="gradient"/>
              </v:roundrect>
            </w:pict>
          </mc:Fallback>
        </mc:AlternateContent>
      </w:r>
    </w:p>
    <w:p w14:paraId="570C0A69" w14:textId="77777777" w:rsidR="00BC434B" w:rsidRPr="00FF0945" w:rsidRDefault="00D638C3">
      <w:pPr>
        <w:numPr>
          <w:ilvl w:val="0"/>
          <w:numId w:val="6"/>
        </w:numPr>
        <w:rPr>
          <w:rFonts w:ascii="Arial" w:hAnsi="Arial" w:cs="Arial"/>
          <w:b/>
          <w:bCs/>
          <w:sz w:val="23"/>
          <w:szCs w:val="23"/>
          <w:lang w:eastAsia="zh-HK"/>
        </w:rPr>
      </w:pPr>
      <w:r w:rsidRPr="00FF0945">
        <w:rPr>
          <w:rFonts w:ascii="Arial" w:hAnsi="Arial" w:cs="Arial"/>
          <w:b/>
          <w:sz w:val="23"/>
          <w:szCs w:val="23"/>
        </w:rPr>
        <w:t>总体财务情况</w:t>
      </w:r>
      <w:r w:rsidR="00BC434B" w:rsidRPr="00FF0945">
        <w:rPr>
          <w:rFonts w:ascii="Arial" w:hAnsi="Arial" w:cs="Arial"/>
          <w:b/>
          <w:sz w:val="23"/>
          <w:szCs w:val="23"/>
        </w:rPr>
        <w:t>分析</w:t>
      </w:r>
    </w:p>
    <w:p w14:paraId="03F84241" w14:textId="77777777" w:rsidR="00BC434B" w:rsidRPr="00FF0945" w:rsidRDefault="00BC434B">
      <w:pPr>
        <w:autoSpaceDE w:val="0"/>
        <w:autoSpaceDN w:val="0"/>
        <w:adjustRightInd w:val="0"/>
        <w:rPr>
          <w:rFonts w:ascii="Arial" w:hAnsi="Arial" w:cs="Arial"/>
          <w:kern w:val="0"/>
          <w:sz w:val="23"/>
          <w:szCs w:val="23"/>
          <w:lang w:eastAsia="zh-TW"/>
        </w:rPr>
      </w:pPr>
    </w:p>
    <w:p w14:paraId="69EAD76D" w14:textId="1711392B" w:rsidR="00F002B6" w:rsidRDefault="00F002B6" w:rsidP="00F002B6">
      <w:pPr>
        <w:autoSpaceDE w:val="0"/>
        <w:autoSpaceDN w:val="0"/>
        <w:adjustRightInd w:val="0"/>
        <w:rPr>
          <w:rFonts w:ascii="Arial" w:hAnsi="Arial" w:cs="Arial"/>
          <w:bCs/>
          <w:kern w:val="0"/>
          <w:sz w:val="23"/>
          <w:szCs w:val="23"/>
        </w:rPr>
      </w:pPr>
      <w:r w:rsidRPr="00F002B6">
        <w:rPr>
          <w:rFonts w:ascii="Arial" w:hAnsi="Arial" w:cs="Arial" w:hint="eastAsia"/>
          <w:bCs/>
          <w:kern w:val="0"/>
          <w:sz w:val="23"/>
          <w:szCs w:val="23"/>
        </w:rPr>
        <w:t>2024</w:t>
      </w:r>
      <w:r w:rsidRPr="00F002B6">
        <w:rPr>
          <w:rFonts w:ascii="Arial" w:hAnsi="Arial" w:cs="Arial" w:hint="eastAsia"/>
          <w:bCs/>
          <w:kern w:val="0"/>
          <w:sz w:val="23"/>
          <w:szCs w:val="23"/>
        </w:rPr>
        <w:t>年</w:t>
      </w:r>
      <w:r w:rsidRPr="00F002B6">
        <w:rPr>
          <w:rFonts w:ascii="Arial" w:hAnsi="Arial" w:cs="Arial" w:hint="eastAsia"/>
          <w:bCs/>
          <w:kern w:val="0"/>
          <w:sz w:val="23"/>
          <w:szCs w:val="23"/>
        </w:rPr>
        <w:t>1-9</w:t>
      </w:r>
      <w:r w:rsidRPr="00F002B6">
        <w:rPr>
          <w:rFonts w:ascii="Arial" w:hAnsi="Arial" w:cs="Arial" w:hint="eastAsia"/>
          <w:bCs/>
          <w:kern w:val="0"/>
          <w:sz w:val="23"/>
          <w:szCs w:val="23"/>
        </w:rPr>
        <w:t>月，本集团实现</w:t>
      </w:r>
      <w:bookmarkStart w:id="10" w:name="_Hlk181094411"/>
      <w:r w:rsidRPr="00F002B6">
        <w:rPr>
          <w:rFonts w:ascii="Arial" w:hAnsi="Arial" w:cs="Arial" w:hint="eastAsia"/>
          <w:bCs/>
          <w:kern w:val="0"/>
          <w:sz w:val="23"/>
          <w:szCs w:val="23"/>
        </w:rPr>
        <w:t>营业收入</w:t>
      </w:r>
      <w:r w:rsidRPr="00F002B6">
        <w:rPr>
          <w:rFonts w:ascii="Arial" w:hAnsi="Arial" w:cs="Arial" w:hint="eastAsia"/>
          <w:bCs/>
          <w:kern w:val="0"/>
          <w:sz w:val="23"/>
          <w:szCs w:val="23"/>
        </w:rPr>
        <w:t>2,527.09</w:t>
      </w:r>
      <w:r w:rsidRPr="00F002B6">
        <w:rPr>
          <w:rFonts w:ascii="Arial" w:hAnsi="Arial" w:cs="Arial" w:hint="eastAsia"/>
          <w:bCs/>
          <w:kern w:val="0"/>
          <w:sz w:val="23"/>
          <w:szCs w:val="23"/>
        </w:rPr>
        <w:t>亿元，同比下降</w:t>
      </w:r>
      <w:r w:rsidRPr="00F002B6">
        <w:rPr>
          <w:rFonts w:ascii="Arial" w:hAnsi="Arial" w:cs="Arial" w:hint="eastAsia"/>
          <w:bCs/>
          <w:kern w:val="0"/>
          <w:sz w:val="23"/>
          <w:szCs w:val="23"/>
        </w:rPr>
        <w:t>2.91%</w:t>
      </w:r>
      <w:bookmarkEnd w:id="10"/>
      <w:r w:rsidR="004F3FF1" w:rsidRPr="00935014">
        <w:rPr>
          <w:rFonts w:ascii="Arial" w:hAnsi="Arial" w:cs="Arial"/>
          <w:color w:val="000000"/>
          <w:sz w:val="22"/>
          <w:szCs w:val="22"/>
        </w:rPr>
        <w:t>（</w:t>
      </w:r>
      <w:r w:rsidR="004F3FF1" w:rsidRPr="00935014">
        <w:rPr>
          <w:rFonts w:ascii="Arial" w:hAnsi="Arial" w:cs="Arial"/>
          <w:color w:val="000000"/>
          <w:sz w:val="22"/>
          <w:szCs w:val="22"/>
        </w:rPr>
        <w:t>H</w:t>
      </w:r>
      <w:r w:rsidR="004F3FF1" w:rsidRPr="00935014">
        <w:rPr>
          <w:rFonts w:ascii="Arial" w:hAnsi="Arial" w:cs="Arial"/>
          <w:color w:val="000000"/>
          <w:sz w:val="22"/>
          <w:szCs w:val="22"/>
        </w:rPr>
        <w:t>股：</w:t>
      </w:r>
      <w:r w:rsidR="004F3FF1" w:rsidRPr="00935014">
        <w:rPr>
          <w:rFonts w:ascii="Arial" w:hAnsi="Arial" w:cs="Arial" w:hint="eastAsia"/>
          <w:color w:val="000000"/>
          <w:sz w:val="22"/>
          <w:szCs w:val="22"/>
        </w:rPr>
        <w:t>营业净收入</w:t>
      </w:r>
      <w:r w:rsidR="004F3FF1" w:rsidRPr="00935014">
        <w:rPr>
          <w:rFonts w:ascii="Arial" w:hAnsi="Arial" w:cs="Arial"/>
          <w:bCs/>
          <w:color w:val="000000"/>
          <w:sz w:val="22"/>
          <w:szCs w:val="22"/>
        </w:rPr>
        <w:t>2,526.03</w:t>
      </w:r>
      <w:r w:rsidR="004F3FF1" w:rsidRPr="00935014">
        <w:rPr>
          <w:rFonts w:ascii="Arial" w:hAnsi="Arial" w:cs="Arial" w:hint="eastAsia"/>
          <w:bCs/>
          <w:color w:val="000000"/>
          <w:sz w:val="22"/>
          <w:szCs w:val="22"/>
        </w:rPr>
        <w:t>亿元，同比下降</w:t>
      </w:r>
      <w:r w:rsidR="004F3FF1" w:rsidRPr="00935014">
        <w:rPr>
          <w:rFonts w:ascii="Arial" w:hAnsi="Arial" w:cs="Arial"/>
          <w:bCs/>
          <w:color w:val="000000"/>
          <w:sz w:val="22"/>
          <w:szCs w:val="22"/>
        </w:rPr>
        <w:t>2.93</w:t>
      </w:r>
      <w:r w:rsidR="004F3FF1" w:rsidRPr="00935014">
        <w:rPr>
          <w:rFonts w:ascii="Arial" w:hAnsi="Arial" w:cs="Arial" w:hint="eastAsia"/>
          <w:bCs/>
          <w:color w:val="000000"/>
          <w:sz w:val="22"/>
          <w:szCs w:val="22"/>
        </w:rPr>
        <w:t>%</w:t>
      </w:r>
      <w:r w:rsidR="004F3FF1" w:rsidRPr="00935014">
        <w:rPr>
          <w:rFonts w:ascii="Arial" w:hAnsi="Arial" w:cs="Arial"/>
          <w:color w:val="000000"/>
          <w:sz w:val="22"/>
          <w:szCs w:val="22"/>
        </w:rPr>
        <w:t>）</w:t>
      </w:r>
      <w:r w:rsidRPr="00F002B6">
        <w:rPr>
          <w:rFonts w:ascii="Arial" w:hAnsi="Arial" w:cs="Arial" w:hint="eastAsia"/>
          <w:bCs/>
          <w:kern w:val="0"/>
          <w:sz w:val="23"/>
          <w:szCs w:val="23"/>
        </w:rPr>
        <w:t>；实现归属于本行股东的净利润</w:t>
      </w:r>
      <w:r w:rsidRPr="00F002B6">
        <w:rPr>
          <w:rFonts w:ascii="Arial" w:hAnsi="Arial" w:cs="Arial" w:hint="eastAsia"/>
          <w:bCs/>
          <w:kern w:val="0"/>
          <w:sz w:val="23"/>
          <w:szCs w:val="23"/>
        </w:rPr>
        <w:t>1,131.84</w:t>
      </w:r>
      <w:r w:rsidRPr="00F002B6">
        <w:rPr>
          <w:rFonts w:ascii="Arial" w:hAnsi="Arial" w:cs="Arial" w:hint="eastAsia"/>
          <w:bCs/>
          <w:kern w:val="0"/>
          <w:sz w:val="23"/>
          <w:szCs w:val="23"/>
        </w:rPr>
        <w:t>亿元，同比下降</w:t>
      </w:r>
      <w:r w:rsidRPr="00F002B6">
        <w:rPr>
          <w:rFonts w:ascii="Arial" w:hAnsi="Arial" w:cs="Arial" w:hint="eastAsia"/>
          <w:bCs/>
          <w:kern w:val="0"/>
          <w:sz w:val="23"/>
          <w:szCs w:val="23"/>
        </w:rPr>
        <w:t>0.62%</w:t>
      </w:r>
      <w:r w:rsidRPr="00F002B6">
        <w:rPr>
          <w:rFonts w:ascii="Arial" w:hAnsi="Arial" w:cs="Arial" w:hint="eastAsia"/>
          <w:bCs/>
          <w:kern w:val="0"/>
          <w:sz w:val="23"/>
          <w:szCs w:val="23"/>
        </w:rPr>
        <w:t>；实现净利息收入</w:t>
      </w:r>
      <w:r w:rsidRPr="00F002B6">
        <w:rPr>
          <w:rFonts w:ascii="Arial" w:hAnsi="Arial" w:cs="Arial" w:hint="eastAsia"/>
          <w:bCs/>
          <w:kern w:val="0"/>
          <w:sz w:val="23"/>
          <w:szCs w:val="23"/>
        </w:rPr>
        <w:t>1,572.98</w:t>
      </w:r>
      <w:r w:rsidRPr="00F002B6">
        <w:rPr>
          <w:rFonts w:ascii="Arial" w:hAnsi="Arial" w:cs="Arial" w:hint="eastAsia"/>
          <w:bCs/>
          <w:kern w:val="0"/>
          <w:sz w:val="23"/>
          <w:szCs w:val="23"/>
        </w:rPr>
        <w:t>亿元，同比下降</w:t>
      </w:r>
      <w:r w:rsidRPr="00F002B6">
        <w:rPr>
          <w:rFonts w:ascii="Arial" w:hAnsi="Arial" w:cs="Arial" w:hint="eastAsia"/>
          <w:bCs/>
          <w:kern w:val="0"/>
          <w:sz w:val="23"/>
          <w:szCs w:val="23"/>
        </w:rPr>
        <w:t>3.07%</w:t>
      </w:r>
      <w:r w:rsidRPr="00F002B6">
        <w:rPr>
          <w:rFonts w:ascii="Arial" w:hAnsi="Arial" w:cs="Arial" w:hint="eastAsia"/>
          <w:bCs/>
          <w:kern w:val="0"/>
          <w:sz w:val="23"/>
          <w:szCs w:val="23"/>
        </w:rPr>
        <w:t>；实现</w:t>
      </w:r>
      <w:bookmarkStart w:id="11" w:name="_Hlk181094435"/>
      <w:r w:rsidRPr="00F002B6">
        <w:rPr>
          <w:rFonts w:ascii="Arial" w:hAnsi="Arial" w:cs="Arial" w:hint="eastAsia"/>
          <w:bCs/>
          <w:kern w:val="0"/>
          <w:sz w:val="23"/>
          <w:szCs w:val="23"/>
        </w:rPr>
        <w:t>非利息净收入</w:t>
      </w:r>
      <w:r w:rsidRPr="00F002B6">
        <w:rPr>
          <w:rFonts w:ascii="Arial" w:hAnsi="Arial" w:cs="Arial" w:hint="eastAsia"/>
          <w:bCs/>
          <w:kern w:val="0"/>
          <w:sz w:val="23"/>
          <w:szCs w:val="23"/>
        </w:rPr>
        <w:t>954.11</w:t>
      </w:r>
      <w:r w:rsidRPr="00F002B6">
        <w:rPr>
          <w:rFonts w:ascii="Arial" w:hAnsi="Arial" w:cs="Arial" w:hint="eastAsia"/>
          <w:bCs/>
          <w:kern w:val="0"/>
          <w:sz w:val="23"/>
          <w:szCs w:val="23"/>
        </w:rPr>
        <w:t>亿元，同比下降</w:t>
      </w:r>
      <w:r w:rsidRPr="00F002B6">
        <w:rPr>
          <w:rFonts w:ascii="Arial" w:hAnsi="Arial" w:cs="Arial" w:hint="eastAsia"/>
          <w:bCs/>
          <w:kern w:val="0"/>
          <w:sz w:val="23"/>
          <w:szCs w:val="23"/>
        </w:rPr>
        <w:t>2.63%</w:t>
      </w:r>
      <w:bookmarkEnd w:id="11"/>
      <w:r w:rsidR="004F3FF1">
        <w:rPr>
          <w:rFonts w:ascii="Arial" w:hAnsi="Arial" w:cs="Arial" w:hint="eastAsia"/>
          <w:bCs/>
          <w:kern w:val="0"/>
          <w:sz w:val="23"/>
          <w:szCs w:val="23"/>
        </w:rPr>
        <w:t>（</w:t>
      </w:r>
      <w:r w:rsidR="004F3FF1">
        <w:rPr>
          <w:rFonts w:ascii="Arial" w:hAnsi="Arial" w:cs="Arial" w:hint="eastAsia"/>
          <w:bCs/>
          <w:kern w:val="0"/>
          <w:sz w:val="23"/>
          <w:szCs w:val="23"/>
        </w:rPr>
        <w:t>H</w:t>
      </w:r>
      <w:r w:rsidR="004F3FF1">
        <w:rPr>
          <w:rFonts w:ascii="Arial" w:hAnsi="Arial" w:cs="Arial" w:hint="eastAsia"/>
          <w:bCs/>
          <w:kern w:val="0"/>
          <w:sz w:val="23"/>
          <w:szCs w:val="23"/>
        </w:rPr>
        <w:t>股：</w:t>
      </w:r>
      <w:r w:rsidR="004F3FF1" w:rsidRPr="008A41A5">
        <w:rPr>
          <w:rFonts w:ascii="Arial" w:hAnsi="Arial" w:cs="Arial" w:hint="eastAsia"/>
          <w:bCs/>
          <w:kern w:val="0"/>
          <w:sz w:val="23"/>
          <w:szCs w:val="23"/>
        </w:rPr>
        <w:t>非利息净收入</w:t>
      </w:r>
      <w:r w:rsidR="004F3FF1" w:rsidRPr="008A41A5">
        <w:rPr>
          <w:rFonts w:ascii="Arial" w:hAnsi="Arial" w:cs="Arial" w:hint="eastAsia"/>
          <w:bCs/>
          <w:kern w:val="0"/>
          <w:sz w:val="23"/>
          <w:szCs w:val="23"/>
        </w:rPr>
        <w:t>953.05</w:t>
      </w:r>
      <w:r w:rsidR="004F3FF1" w:rsidRPr="008A41A5">
        <w:rPr>
          <w:rFonts w:ascii="Arial" w:hAnsi="Arial" w:cs="Arial" w:hint="eastAsia"/>
          <w:bCs/>
          <w:kern w:val="0"/>
          <w:sz w:val="23"/>
          <w:szCs w:val="23"/>
        </w:rPr>
        <w:t>亿元，同比下降</w:t>
      </w:r>
      <w:r w:rsidR="004F3FF1" w:rsidRPr="008A41A5">
        <w:rPr>
          <w:rFonts w:ascii="Arial" w:hAnsi="Arial" w:cs="Arial" w:hint="eastAsia"/>
          <w:bCs/>
          <w:kern w:val="0"/>
          <w:sz w:val="23"/>
          <w:szCs w:val="23"/>
        </w:rPr>
        <w:t>2.70%</w:t>
      </w:r>
      <w:r w:rsidR="004F3FF1">
        <w:rPr>
          <w:rFonts w:ascii="Arial" w:hAnsi="Arial" w:cs="Arial" w:hint="eastAsia"/>
          <w:bCs/>
          <w:kern w:val="0"/>
          <w:sz w:val="23"/>
          <w:szCs w:val="23"/>
        </w:rPr>
        <w:t>）</w:t>
      </w:r>
      <w:r w:rsidRPr="00F002B6">
        <w:rPr>
          <w:rFonts w:ascii="Arial" w:hAnsi="Arial" w:cs="Arial" w:hint="eastAsia"/>
          <w:bCs/>
          <w:kern w:val="0"/>
          <w:sz w:val="23"/>
          <w:szCs w:val="23"/>
        </w:rPr>
        <w:t>；</w:t>
      </w:r>
      <w:proofErr w:type="gramStart"/>
      <w:r w:rsidRPr="00F002B6">
        <w:rPr>
          <w:rFonts w:ascii="Arial" w:hAnsi="Arial" w:cs="Arial" w:hint="eastAsia"/>
          <w:bCs/>
          <w:kern w:val="0"/>
          <w:sz w:val="23"/>
          <w:szCs w:val="23"/>
        </w:rPr>
        <w:t>年化后归属于本行股东的平均总资产收益率</w:t>
      </w:r>
      <w:r w:rsidRPr="00F002B6">
        <w:rPr>
          <w:rFonts w:ascii="Arial" w:hAnsi="Arial" w:cs="Arial" w:hint="eastAsia"/>
          <w:bCs/>
          <w:kern w:val="0"/>
          <w:sz w:val="23"/>
          <w:szCs w:val="23"/>
        </w:rPr>
        <w:t>(</w:t>
      </w:r>
      <w:proofErr w:type="gramEnd"/>
      <w:r w:rsidRPr="00F002B6">
        <w:rPr>
          <w:rFonts w:ascii="Arial" w:hAnsi="Arial" w:cs="Arial" w:hint="eastAsia"/>
          <w:bCs/>
          <w:kern w:val="0"/>
          <w:sz w:val="23"/>
          <w:szCs w:val="23"/>
        </w:rPr>
        <w:t>ROAA)</w:t>
      </w:r>
      <w:r w:rsidRPr="00F002B6">
        <w:rPr>
          <w:rFonts w:ascii="Arial" w:hAnsi="Arial" w:cs="Arial" w:hint="eastAsia"/>
          <w:bCs/>
          <w:kern w:val="0"/>
          <w:sz w:val="23"/>
          <w:szCs w:val="23"/>
        </w:rPr>
        <w:t>和年化后归属于本行普通股股东的平均净资产收益率</w:t>
      </w:r>
      <w:r w:rsidRPr="00F002B6">
        <w:rPr>
          <w:rFonts w:ascii="Arial" w:hAnsi="Arial" w:cs="Arial" w:hint="eastAsia"/>
          <w:bCs/>
          <w:kern w:val="0"/>
          <w:sz w:val="23"/>
          <w:szCs w:val="23"/>
        </w:rPr>
        <w:t>(ROAE)</w:t>
      </w:r>
      <w:r w:rsidRPr="00F002B6">
        <w:rPr>
          <w:rFonts w:ascii="Arial" w:hAnsi="Arial" w:cs="Arial" w:hint="eastAsia"/>
          <w:bCs/>
          <w:kern w:val="0"/>
          <w:sz w:val="23"/>
          <w:szCs w:val="23"/>
        </w:rPr>
        <w:t>分别为</w:t>
      </w:r>
      <w:r w:rsidRPr="00F002B6">
        <w:rPr>
          <w:rFonts w:ascii="Arial" w:hAnsi="Arial" w:cs="Arial" w:hint="eastAsia"/>
          <w:bCs/>
          <w:kern w:val="0"/>
          <w:sz w:val="23"/>
          <w:szCs w:val="23"/>
        </w:rPr>
        <w:t>1.33%</w:t>
      </w:r>
      <w:r w:rsidRPr="00F002B6">
        <w:rPr>
          <w:rFonts w:ascii="Arial" w:hAnsi="Arial" w:cs="Arial" w:hint="eastAsia"/>
          <w:bCs/>
          <w:kern w:val="0"/>
          <w:sz w:val="23"/>
          <w:szCs w:val="23"/>
        </w:rPr>
        <w:t>和</w:t>
      </w:r>
      <w:r w:rsidRPr="00F002B6">
        <w:rPr>
          <w:rFonts w:ascii="Arial" w:hAnsi="Arial" w:cs="Arial" w:hint="eastAsia"/>
          <w:bCs/>
          <w:kern w:val="0"/>
          <w:sz w:val="23"/>
          <w:szCs w:val="23"/>
        </w:rPr>
        <w:t>15.38%</w:t>
      </w:r>
      <w:r w:rsidRPr="00F002B6">
        <w:rPr>
          <w:rFonts w:ascii="Arial" w:hAnsi="Arial" w:cs="Arial" w:hint="eastAsia"/>
          <w:bCs/>
          <w:kern w:val="0"/>
          <w:sz w:val="23"/>
          <w:szCs w:val="23"/>
        </w:rPr>
        <w:t>，同比分别下降</w:t>
      </w:r>
      <w:r w:rsidRPr="00F002B6">
        <w:rPr>
          <w:rFonts w:ascii="Arial" w:hAnsi="Arial" w:cs="Arial" w:hint="eastAsia"/>
          <w:bCs/>
          <w:kern w:val="0"/>
          <w:sz w:val="23"/>
          <w:szCs w:val="23"/>
        </w:rPr>
        <w:t>0.13</w:t>
      </w:r>
      <w:r w:rsidRPr="00F002B6">
        <w:rPr>
          <w:rFonts w:ascii="Arial" w:hAnsi="Arial" w:cs="Arial" w:hint="eastAsia"/>
          <w:bCs/>
          <w:kern w:val="0"/>
          <w:sz w:val="23"/>
          <w:szCs w:val="23"/>
        </w:rPr>
        <w:t>和</w:t>
      </w:r>
      <w:r w:rsidRPr="00F002B6">
        <w:rPr>
          <w:rFonts w:ascii="Arial" w:hAnsi="Arial" w:cs="Arial" w:hint="eastAsia"/>
          <w:bCs/>
          <w:kern w:val="0"/>
          <w:sz w:val="23"/>
          <w:szCs w:val="23"/>
        </w:rPr>
        <w:t>2.00</w:t>
      </w:r>
      <w:r w:rsidRPr="00F002B6">
        <w:rPr>
          <w:rFonts w:ascii="Arial" w:hAnsi="Arial" w:cs="Arial" w:hint="eastAsia"/>
          <w:bCs/>
          <w:kern w:val="0"/>
          <w:sz w:val="23"/>
          <w:szCs w:val="23"/>
        </w:rPr>
        <w:t>个百分点。</w:t>
      </w:r>
    </w:p>
    <w:p w14:paraId="41CDAF9F" w14:textId="77777777" w:rsidR="00F002B6" w:rsidRPr="00F002B6" w:rsidRDefault="00F002B6" w:rsidP="00F002B6">
      <w:pPr>
        <w:autoSpaceDE w:val="0"/>
        <w:autoSpaceDN w:val="0"/>
        <w:adjustRightInd w:val="0"/>
        <w:rPr>
          <w:rFonts w:ascii="Arial" w:hAnsi="Arial" w:cs="Arial"/>
          <w:bCs/>
          <w:kern w:val="0"/>
          <w:sz w:val="23"/>
          <w:szCs w:val="23"/>
        </w:rPr>
      </w:pPr>
    </w:p>
    <w:p w14:paraId="71575A9E" w14:textId="3F1CF431" w:rsidR="00F002B6" w:rsidRDefault="00F002B6" w:rsidP="00F002B6">
      <w:pPr>
        <w:autoSpaceDE w:val="0"/>
        <w:autoSpaceDN w:val="0"/>
        <w:adjustRightInd w:val="0"/>
        <w:rPr>
          <w:rFonts w:ascii="Arial" w:hAnsi="Arial" w:cs="Arial"/>
          <w:bCs/>
          <w:kern w:val="0"/>
          <w:sz w:val="23"/>
          <w:szCs w:val="23"/>
        </w:rPr>
      </w:pPr>
      <w:r w:rsidRPr="00F002B6">
        <w:rPr>
          <w:rFonts w:ascii="Arial" w:hAnsi="Arial" w:cs="Arial" w:hint="eastAsia"/>
          <w:bCs/>
          <w:kern w:val="0"/>
          <w:sz w:val="23"/>
          <w:szCs w:val="23"/>
        </w:rPr>
        <w:t>截至报告期末，本集团资产总额</w:t>
      </w:r>
      <w:r w:rsidRPr="00F002B6">
        <w:rPr>
          <w:rFonts w:ascii="Arial" w:hAnsi="Arial" w:cs="Arial" w:hint="eastAsia"/>
          <w:bCs/>
          <w:kern w:val="0"/>
          <w:sz w:val="23"/>
          <w:szCs w:val="23"/>
        </w:rPr>
        <w:t>116,547.63</w:t>
      </w:r>
      <w:r w:rsidRPr="00F002B6">
        <w:rPr>
          <w:rFonts w:ascii="Arial" w:hAnsi="Arial" w:cs="Arial" w:hint="eastAsia"/>
          <w:bCs/>
          <w:kern w:val="0"/>
          <w:sz w:val="23"/>
          <w:szCs w:val="23"/>
        </w:rPr>
        <w:t>亿元，较上年末增长</w:t>
      </w:r>
      <w:r w:rsidRPr="00F002B6">
        <w:rPr>
          <w:rFonts w:ascii="Arial" w:hAnsi="Arial" w:cs="Arial" w:hint="eastAsia"/>
          <w:bCs/>
          <w:kern w:val="0"/>
          <w:sz w:val="23"/>
          <w:szCs w:val="23"/>
        </w:rPr>
        <w:t>5.68%</w:t>
      </w:r>
      <w:r w:rsidRPr="00F002B6">
        <w:rPr>
          <w:rFonts w:ascii="Arial" w:hAnsi="Arial" w:cs="Arial" w:hint="eastAsia"/>
          <w:bCs/>
          <w:kern w:val="0"/>
          <w:sz w:val="23"/>
          <w:szCs w:val="23"/>
        </w:rPr>
        <w:t>；贷款和垫款总额</w:t>
      </w:r>
      <w:r w:rsidRPr="00F002B6">
        <w:rPr>
          <w:rFonts w:ascii="Arial" w:hAnsi="Arial" w:cs="Arial" w:hint="eastAsia"/>
          <w:bCs/>
          <w:kern w:val="0"/>
          <w:sz w:val="23"/>
          <w:szCs w:val="23"/>
        </w:rPr>
        <w:t>67,587.51</w:t>
      </w:r>
      <w:r w:rsidRPr="00F002B6">
        <w:rPr>
          <w:rFonts w:ascii="Arial" w:hAnsi="Arial" w:cs="Arial" w:hint="eastAsia"/>
          <w:bCs/>
          <w:kern w:val="0"/>
          <w:sz w:val="23"/>
          <w:szCs w:val="23"/>
        </w:rPr>
        <w:t>亿元，较上年末增长</w:t>
      </w:r>
      <w:r w:rsidRPr="00F002B6">
        <w:rPr>
          <w:rFonts w:ascii="Arial" w:hAnsi="Arial" w:cs="Arial" w:hint="eastAsia"/>
          <w:bCs/>
          <w:kern w:val="0"/>
          <w:sz w:val="23"/>
          <w:szCs w:val="23"/>
        </w:rPr>
        <w:t>3.84%</w:t>
      </w:r>
      <w:r w:rsidRPr="00F002B6">
        <w:rPr>
          <w:rFonts w:ascii="Arial" w:hAnsi="Arial" w:cs="Arial" w:hint="eastAsia"/>
          <w:bCs/>
          <w:kern w:val="0"/>
          <w:sz w:val="23"/>
          <w:szCs w:val="23"/>
        </w:rPr>
        <w:t>；负债总额</w:t>
      </w:r>
      <w:r w:rsidRPr="00F002B6">
        <w:rPr>
          <w:rFonts w:ascii="Arial" w:hAnsi="Arial" w:cs="Arial" w:hint="eastAsia"/>
          <w:bCs/>
          <w:kern w:val="0"/>
          <w:sz w:val="23"/>
          <w:szCs w:val="23"/>
        </w:rPr>
        <w:t>104,951.28</w:t>
      </w:r>
      <w:r w:rsidRPr="00F002B6">
        <w:rPr>
          <w:rFonts w:ascii="Arial" w:hAnsi="Arial" w:cs="Arial" w:hint="eastAsia"/>
          <w:bCs/>
          <w:kern w:val="0"/>
          <w:sz w:val="23"/>
          <w:szCs w:val="23"/>
        </w:rPr>
        <w:t>亿元，较上年末增长</w:t>
      </w:r>
      <w:r w:rsidRPr="00F002B6">
        <w:rPr>
          <w:rFonts w:ascii="Arial" w:hAnsi="Arial" w:cs="Arial" w:hint="eastAsia"/>
          <w:bCs/>
          <w:kern w:val="0"/>
          <w:sz w:val="23"/>
          <w:szCs w:val="23"/>
        </w:rPr>
        <w:t>5.56%</w:t>
      </w:r>
      <w:r w:rsidRPr="00F002B6">
        <w:rPr>
          <w:rFonts w:ascii="Arial" w:hAnsi="Arial" w:cs="Arial" w:hint="eastAsia"/>
          <w:bCs/>
          <w:kern w:val="0"/>
          <w:sz w:val="23"/>
          <w:szCs w:val="23"/>
        </w:rPr>
        <w:t>；客户存款总额</w:t>
      </w:r>
      <w:r w:rsidRPr="00F002B6">
        <w:rPr>
          <w:rFonts w:ascii="Arial" w:hAnsi="Arial" w:cs="Arial" w:hint="eastAsia"/>
          <w:bCs/>
          <w:kern w:val="0"/>
          <w:sz w:val="23"/>
          <w:szCs w:val="23"/>
        </w:rPr>
        <w:t>87,326.81</w:t>
      </w:r>
      <w:r w:rsidRPr="00F002B6">
        <w:rPr>
          <w:rFonts w:ascii="Arial" w:hAnsi="Arial" w:cs="Arial" w:hint="eastAsia"/>
          <w:bCs/>
          <w:kern w:val="0"/>
          <w:sz w:val="23"/>
          <w:szCs w:val="23"/>
        </w:rPr>
        <w:t>亿元，较上年末增长</w:t>
      </w:r>
      <w:r w:rsidRPr="00F002B6">
        <w:rPr>
          <w:rFonts w:ascii="Arial" w:hAnsi="Arial" w:cs="Arial" w:hint="eastAsia"/>
          <w:bCs/>
          <w:kern w:val="0"/>
          <w:sz w:val="23"/>
          <w:szCs w:val="23"/>
        </w:rPr>
        <w:t>7.08%</w:t>
      </w:r>
      <w:r w:rsidRPr="00F002B6">
        <w:rPr>
          <w:rFonts w:ascii="Arial" w:hAnsi="Arial" w:cs="Arial" w:hint="eastAsia"/>
          <w:bCs/>
          <w:kern w:val="0"/>
          <w:sz w:val="23"/>
          <w:szCs w:val="23"/>
        </w:rPr>
        <w:t>。</w:t>
      </w:r>
    </w:p>
    <w:p w14:paraId="7CC81D48" w14:textId="77777777" w:rsidR="00F002B6" w:rsidRPr="00F002B6" w:rsidRDefault="00F002B6" w:rsidP="00F002B6">
      <w:pPr>
        <w:autoSpaceDE w:val="0"/>
        <w:autoSpaceDN w:val="0"/>
        <w:adjustRightInd w:val="0"/>
        <w:rPr>
          <w:rFonts w:ascii="Arial" w:hAnsi="Arial" w:cs="Arial"/>
          <w:bCs/>
          <w:kern w:val="0"/>
          <w:sz w:val="23"/>
          <w:szCs w:val="23"/>
        </w:rPr>
      </w:pPr>
    </w:p>
    <w:p w14:paraId="1B46A77D" w14:textId="0A4C0759" w:rsidR="00F6010D" w:rsidRDefault="00F002B6" w:rsidP="00F002B6">
      <w:pPr>
        <w:autoSpaceDE w:val="0"/>
        <w:autoSpaceDN w:val="0"/>
        <w:adjustRightInd w:val="0"/>
        <w:rPr>
          <w:rFonts w:ascii="Arial" w:hAnsi="Arial" w:cs="Arial"/>
          <w:bCs/>
          <w:kern w:val="0"/>
          <w:sz w:val="23"/>
          <w:szCs w:val="23"/>
        </w:rPr>
      </w:pPr>
      <w:r w:rsidRPr="00F002B6">
        <w:rPr>
          <w:rFonts w:ascii="Arial" w:hAnsi="Arial" w:cs="Arial" w:hint="eastAsia"/>
          <w:bCs/>
          <w:kern w:val="0"/>
          <w:sz w:val="23"/>
          <w:szCs w:val="23"/>
        </w:rPr>
        <w:t>截至报告期末，本集团不良贷款余额</w:t>
      </w:r>
      <w:r w:rsidRPr="00F002B6">
        <w:rPr>
          <w:rFonts w:ascii="Arial" w:hAnsi="Arial" w:cs="Arial" w:hint="eastAsia"/>
          <w:bCs/>
          <w:kern w:val="0"/>
          <w:sz w:val="23"/>
          <w:szCs w:val="23"/>
        </w:rPr>
        <w:t>635.57</w:t>
      </w:r>
      <w:r w:rsidRPr="00F002B6">
        <w:rPr>
          <w:rFonts w:ascii="Arial" w:hAnsi="Arial" w:cs="Arial" w:hint="eastAsia"/>
          <w:bCs/>
          <w:kern w:val="0"/>
          <w:sz w:val="23"/>
          <w:szCs w:val="23"/>
        </w:rPr>
        <w:t>亿元，较上年末增加</w:t>
      </w:r>
      <w:r w:rsidRPr="00F002B6">
        <w:rPr>
          <w:rFonts w:ascii="Arial" w:hAnsi="Arial" w:cs="Arial" w:hint="eastAsia"/>
          <w:bCs/>
          <w:kern w:val="0"/>
          <w:sz w:val="23"/>
          <w:szCs w:val="23"/>
        </w:rPr>
        <w:t>19.78</w:t>
      </w:r>
      <w:r w:rsidRPr="00F002B6">
        <w:rPr>
          <w:rFonts w:ascii="Arial" w:hAnsi="Arial" w:cs="Arial" w:hint="eastAsia"/>
          <w:bCs/>
          <w:kern w:val="0"/>
          <w:sz w:val="23"/>
          <w:szCs w:val="23"/>
        </w:rPr>
        <w:t>亿元；不良贷款率</w:t>
      </w:r>
      <w:r w:rsidRPr="00F002B6">
        <w:rPr>
          <w:rFonts w:ascii="Arial" w:hAnsi="Arial" w:cs="Arial" w:hint="eastAsia"/>
          <w:bCs/>
          <w:kern w:val="0"/>
          <w:sz w:val="23"/>
          <w:szCs w:val="23"/>
        </w:rPr>
        <w:t>0.94%</w:t>
      </w:r>
      <w:r w:rsidRPr="00F002B6">
        <w:rPr>
          <w:rFonts w:ascii="Arial" w:hAnsi="Arial" w:cs="Arial" w:hint="eastAsia"/>
          <w:bCs/>
          <w:kern w:val="0"/>
          <w:sz w:val="23"/>
          <w:szCs w:val="23"/>
        </w:rPr>
        <w:t>，较上年末下降</w:t>
      </w:r>
      <w:r w:rsidRPr="00F002B6">
        <w:rPr>
          <w:rFonts w:ascii="Arial" w:hAnsi="Arial" w:cs="Arial" w:hint="eastAsia"/>
          <w:bCs/>
          <w:kern w:val="0"/>
          <w:sz w:val="23"/>
          <w:szCs w:val="23"/>
        </w:rPr>
        <w:t>0.01</w:t>
      </w:r>
      <w:r w:rsidRPr="00F002B6">
        <w:rPr>
          <w:rFonts w:ascii="Arial" w:hAnsi="Arial" w:cs="Arial" w:hint="eastAsia"/>
          <w:bCs/>
          <w:kern w:val="0"/>
          <w:sz w:val="23"/>
          <w:szCs w:val="23"/>
        </w:rPr>
        <w:t>个百分点；本集团拨备覆盖率</w:t>
      </w:r>
      <w:r w:rsidRPr="00F002B6">
        <w:rPr>
          <w:rFonts w:ascii="Arial" w:hAnsi="Arial" w:cs="Arial" w:hint="eastAsia"/>
          <w:bCs/>
          <w:kern w:val="0"/>
          <w:sz w:val="23"/>
          <w:szCs w:val="23"/>
        </w:rPr>
        <w:t>432.15%</w:t>
      </w:r>
      <w:r w:rsidRPr="00F002B6">
        <w:rPr>
          <w:rFonts w:ascii="Arial" w:hAnsi="Arial" w:cs="Arial" w:hint="eastAsia"/>
          <w:bCs/>
          <w:kern w:val="0"/>
          <w:sz w:val="23"/>
          <w:szCs w:val="23"/>
        </w:rPr>
        <w:t>，较上年末下降</w:t>
      </w:r>
      <w:r w:rsidRPr="00F002B6">
        <w:rPr>
          <w:rFonts w:ascii="Arial" w:hAnsi="Arial" w:cs="Arial" w:hint="eastAsia"/>
          <w:bCs/>
          <w:kern w:val="0"/>
          <w:sz w:val="23"/>
          <w:szCs w:val="23"/>
        </w:rPr>
        <w:t>5.55</w:t>
      </w:r>
      <w:r w:rsidRPr="00F002B6">
        <w:rPr>
          <w:rFonts w:ascii="Arial" w:hAnsi="Arial" w:cs="Arial" w:hint="eastAsia"/>
          <w:bCs/>
          <w:kern w:val="0"/>
          <w:sz w:val="23"/>
          <w:szCs w:val="23"/>
        </w:rPr>
        <w:t>个百分点；贷款</w:t>
      </w:r>
      <w:proofErr w:type="gramStart"/>
      <w:r w:rsidRPr="00F002B6">
        <w:rPr>
          <w:rFonts w:ascii="Arial" w:hAnsi="Arial" w:cs="Arial" w:hint="eastAsia"/>
          <w:bCs/>
          <w:kern w:val="0"/>
          <w:sz w:val="23"/>
          <w:szCs w:val="23"/>
        </w:rPr>
        <w:t>拨备率</w:t>
      </w:r>
      <w:proofErr w:type="gramEnd"/>
      <w:r w:rsidRPr="00F002B6">
        <w:rPr>
          <w:rFonts w:ascii="Arial" w:hAnsi="Arial" w:cs="Arial" w:hint="eastAsia"/>
          <w:bCs/>
          <w:kern w:val="0"/>
          <w:sz w:val="23"/>
          <w:szCs w:val="23"/>
        </w:rPr>
        <w:t>4.06%</w:t>
      </w:r>
      <w:r w:rsidRPr="00F002B6">
        <w:rPr>
          <w:rFonts w:ascii="Arial" w:hAnsi="Arial" w:cs="Arial" w:hint="eastAsia"/>
          <w:bCs/>
          <w:kern w:val="0"/>
          <w:sz w:val="23"/>
          <w:szCs w:val="23"/>
        </w:rPr>
        <w:t>，较上年末下降</w:t>
      </w:r>
      <w:r w:rsidRPr="00F002B6">
        <w:rPr>
          <w:rFonts w:ascii="Arial" w:hAnsi="Arial" w:cs="Arial" w:hint="eastAsia"/>
          <w:bCs/>
          <w:kern w:val="0"/>
          <w:sz w:val="23"/>
          <w:szCs w:val="23"/>
        </w:rPr>
        <w:t>0.08</w:t>
      </w:r>
      <w:r w:rsidRPr="00F002B6">
        <w:rPr>
          <w:rFonts w:ascii="Arial" w:hAnsi="Arial" w:cs="Arial" w:hint="eastAsia"/>
          <w:bCs/>
          <w:kern w:val="0"/>
          <w:sz w:val="23"/>
          <w:szCs w:val="23"/>
        </w:rPr>
        <w:t>个百分点</w:t>
      </w:r>
      <w:r w:rsidR="00F6010D" w:rsidRPr="00F6010D">
        <w:rPr>
          <w:rFonts w:ascii="Arial" w:hAnsi="Arial" w:cs="Arial" w:hint="eastAsia"/>
          <w:bCs/>
          <w:kern w:val="0"/>
          <w:sz w:val="23"/>
          <w:szCs w:val="23"/>
        </w:rPr>
        <w:t>。</w:t>
      </w:r>
    </w:p>
    <w:p w14:paraId="00941505" w14:textId="6D3D3136" w:rsidR="00BC434B" w:rsidRPr="00FF0945" w:rsidRDefault="0053640C" w:rsidP="00F6010D">
      <w:pPr>
        <w:autoSpaceDE w:val="0"/>
        <w:autoSpaceDN w:val="0"/>
        <w:adjustRightInd w:val="0"/>
        <w:rPr>
          <w:rFonts w:ascii="Arial" w:hAnsi="Arial" w:cs="Arial"/>
          <w:sz w:val="23"/>
          <w:szCs w:val="23"/>
        </w:rPr>
      </w:pPr>
      <w:r w:rsidRPr="00FF0945">
        <w:rPr>
          <w:rFonts w:ascii="Arial" w:hAnsi="Arial" w:cs="Arial"/>
          <w:b/>
          <w:noProof/>
          <w:sz w:val="23"/>
          <w:szCs w:val="23"/>
        </w:rPr>
        <mc:AlternateContent>
          <mc:Choice Requires="wps">
            <w:drawing>
              <wp:anchor distT="0" distB="0" distL="114300" distR="114300" simplePos="0" relativeHeight="251658752" behindDoc="1" locked="0" layoutInCell="1" allowOverlap="1" wp14:anchorId="7D6F32E3" wp14:editId="0E40F67F">
                <wp:simplePos x="0" y="0"/>
                <wp:positionH relativeFrom="column">
                  <wp:posOffset>-21590</wp:posOffset>
                </wp:positionH>
                <wp:positionV relativeFrom="paragraph">
                  <wp:posOffset>194945</wp:posOffset>
                </wp:positionV>
                <wp:extent cx="1861820" cy="304800"/>
                <wp:effectExtent l="8255" t="0" r="6350" b="0"/>
                <wp:wrapNone/>
                <wp:docPr id="1451700643" name="自选图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1820" cy="304800"/>
                        </a:xfrm>
                        <a:prstGeom prst="roundRect">
                          <a:avLst>
                            <a:gd name="adj" fmla="val 16667"/>
                          </a:avLst>
                        </a:prstGeom>
                        <a:gradFill rotWithShape="0">
                          <a:gsLst>
                            <a:gs pos="0">
                              <a:srgbClr val="FF0000"/>
                            </a:gs>
                            <a:gs pos="100000">
                              <a:srgbClr val="FF0000">
                                <a:gamma/>
                                <a:tint val="20000"/>
                                <a:invGamma/>
                              </a:srgbClr>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EA70C7" id="自选图形 9" o:spid="_x0000_s1026" style="position:absolute;margin-left:-1.7pt;margin-top:15.35pt;width:146.6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76aWgIAAKgEAAAOAAAAZHJzL2Uyb0RvYy54bWysVE2P0zAQvSPxHyzf2SSldEvUdLXqqiuk&#10;5UMsiLNrO4nB9hjbbbr8esZOWioQF0QPru3xvJl5byarm6PR5CB9UGAbWl2VlEjLQSjbNfTzp+2L&#10;JSUhMiuYBisb+iQDvVk/f7YaXC1n0IMW0hMEsaEeXEP7GF1dFIH30rBwBU5aNLbgDYt49F0hPBsQ&#10;3ehiVpaLYgAvnAcuQ8Dbu9FI1xm/bSWP79s2yEh0QzG3mFef111ai/WK1Z1nrld8SoP9QxaGKYtB&#10;z1B3LDKy9+oPKKO4hwBtvOJgCmhbxWWuAaupyt+qeeyZk7kWJCe4M03h/8Hyd4dH98Gn1IN7AP4t&#10;EAubntlO3noPQy+ZwHBVIqoYXKjPDukQ0JXshrcgUFq2j5A5OLbeJECsjhwz1U9nquUxEo6X1XJR&#10;LWeoCEfby3K+LLMWBatP3s6HeC/BkLRpqIe9FR9RzxyCHR5CzHwLYplJ0cVXSlqjUb0D06RaLBbX&#10;OWlWT48R+4Q5KSW2SmviIX5Rsc9kpzyzMZzwA3GABIzXwXe7jfYEIzR0uy3xN8Xowug2vq6S5e8u&#10;+SkzhuXui8rGEREbegRktbKH++kF5j3FRQmwwzBS/psy1MoSlKuhs+vkjpQGzrQUJ9FyT+ZKU1ht&#10;02ohVZ4kHW+ysknMNDeh3oF4QmGRmFR4Gm/c9OB/UDLgqDQ0fN8zLynRbyxy87qaz9Ns5cP81XWS&#10;1V9adpcWZjlCNTRSTDttN3Gcx73zqusxUpUlsHCLDdWqeOq8MaupDXEcRhrG0U3zdnnOr359YNY/&#10;AQAA//8DAFBLAwQUAAYACAAAACEAK9bkZd4AAAAIAQAADwAAAGRycy9kb3ducmV2LnhtbEyPwU7D&#10;MBBE70j8g7VI3FqHtmpCiFNVET3ACVo+YBsvcdR4HcVumvL1mBM9jmY086bYTLYTIw2+dazgaZ6A&#10;IK6dbrlR8HXYzTIQPiBr7ByTgit52JT3dwXm2l34k8Z9aEQsYZ+jAhNCn0vpa0MW/dz1xNH7doPF&#10;EOXQSD3gJZbbTi6SZC0tthwXDPZUGapP+7NVsDLVx9thvXv9eU8rPNnruGWUSj0+TNsXEIGm8B+G&#10;P/yIDmVkOrozay86BbPlKiYVLJMURPQX2XO8clSQZinIspC3B8pfAAAA//8DAFBLAQItABQABgAI&#10;AAAAIQC2gziS/gAAAOEBAAATAAAAAAAAAAAAAAAAAAAAAABbQ29udGVudF9UeXBlc10ueG1sUEsB&#10;Ai0AFAAGAAgAAAAhADj9If/WAAAAlAEAAAsAAAAAAAAAAAAAAAAALwEAAF9yZWxzLy5yZWxzUEsB&#10;Ai0AFAAGAAgAAAAhAPRjvppaAgAAqAQAAA4AAAAAAAAAAAAAAAAALgIAAGRycy9lMm9Eb2MueG1s&#10;UEsBAi0AFAAGAAgAAAAhACvW5GXeAAAACAEAAA8AAAAAAAAAAAAAAAAAtAQAAGRycy9kb3ducmV2&#10;LnhtbFBLBQYAAAAABAAEAPMAAAC/BQAAAAA=&#10;" fillcolor="red" stroked="f">
                <v:fill color2="#fcc" angle="45" focus="100%" type="gradient"/>
              </v:roundrect>
            </w:pict>
          </mc:Fallback>
        </mc:AlternateContent>
      </w:r>
    </w:p>
    <w:p w14:paraId="4BF7138B" w14:textId="77777777" w:rsidR="00BC434B" w:rsidRPr="00FF0945" w:rsidRDefault="00BC434B">
      <w:pPr>
        <w:rPr>
          <w:rFonts w:ascii="Arial" w:hAnsi="Arial" w:cs="Arial"/>
          <w:b/>
          <w:kern w:val="0"/>
          <w:sz w:val="23"/>
          <w:szCs w:val="23"/>
        </w:rPr>
      </w:pPr>
      <w:r w:rsidRPr="00FF0945">
        <w:rPr>
          <w:rFonts w:ascii="Arial" w:hAnsi="Arial" w:cs="Arial"/>
          <w:b/>
          <w:sz w:val="23"/>
          <w:szCs w:val="23"/>
        </w:rPr>
        <w:t>二、</w:t>
      </w:r>
      <w:r w:rsidR="00D638C3" w:rsidRPr="00FF0945">
        <w:rPr>
          <w:rFonts w:ascii="Arial" w:hAnsi="Arial" w:cs="Arial"/>
          <w:b/>
          <w:sz w:val="23"/>
          <w:szCs w:val="23"/>
        </w:rPr>
        <w:t>重点</w:t>
      </w:r>
      <w:r w:rsidRPr="00FF0945">
        <w:rPr>
          <w:rFonts w:ascii="Arial" w:hAnsi="Arial" w:cs="Arial"/>
          <w:b/>
          <w:sz w:val="23"/>
          <w:szCs w:val="23"/>
        </w:rPr>
        <w:t>经营情况分析</w:t>
      </w:r>
      <w:r w:rsidRPr="00FF0945">
        <w:rPr>
          <w:rFonts w:ascii="Arial" w:hAnsi="Arial" w:cs="Arial"/>
          <w:b/>
          <w:sz w:val="23"/>
          <w:szCs w:val="23"/>
        </w:rPr>
        <w:cr/>
      </w:r>
    </w:p>
    <w:p w14:paraId="60B59436" w14:textId="5718E4E5" w:rsidR="008D3DF5" w:rsidRDefault="00833750" w:rsidP="00560BED">
      <w:pPr>
        <w:autoSpaceDE w:val="0"/>
        <w:autoSpaceDN w:val="0"/>
        <w:adjustRightInd w:val="0"/>
        <w:rPr>
          <w:rFonts w:ascii="Arial" w:hAnsi="Arial" w:cs="Arial"/>
          <w:bCs/>
          <w:kern w:val="0"/>
          <w:sz w:val="23"/>
          <w:szCs w:val="23"/>
        </w:rPr>
      </w:pPr>
      <w:r w:rsidRPr="00833750">
        <w:rPr>
          <w:rFonts w:ascii="Arial" w:hAnsi="Arial" w:cs="Arial" w:hint="eastAsia"/>
          <w:b/>
          <w:bCs/>
          <w:kern w:val="0"/>
          <w:sz w:val="23"/>
          <w:szCs w:val="23"/>
        </w:rPr>
        <w:t>加强资产负债管理，存贷款规模稳步增长。</w:t>
      </w:r>
      <w:r w:rsidR="00560BED" w:rsidRPr="00B33858">
        <w:rPr>
          <w:rFonts w:ascii="Arial" w:hAnsi="Arial" w:cs="Arial" w:hint="eastAsia"/>
          <w:bCs/>
          <w:kern w:val="0"/>
          <w:sz w:val="23"/>
          <w:szCs w:val="23"/>
        </w:rPr>
        <w:t>截至</w:t>
      </w:r>
      <w:r w:rsidR="00F6010D" w:rsidRPr="00B33858">
        <w:rPr>
          <w:rFonts w:ascii="Arial" w:hAnsi="Arial" w:cs="Arial"/>
          <w:bCs/>
          <w:kern w:val="0"/>
          <w:sz w:val="23"/>
          <w:szCs w:val="23"/>
        </w:rPr>
        <w:t>9</w:t>
      </w:r>
      <w:r w:rsidR="008D3DF5" w:rsidRPr="00B33858">
        <w:rPr>
          <w:rFonts w:ascii="Arial" w:hAnsi="Arial" w:cs="Arial" w:hint="eastAsia"/>
          <w:bCs/>
          <w:kern w:val="0"/>
          <w:sz w:val="23"/>
          <w:szCs w:val="23"/>
        </w:rPr>
        <w:t>月</w:t>
      </w:r>
      <w:r w:rsidR="00560BED" w:rsidRPr="00B33858">
        <w:rPr>
          <w:rFonts w:ascii="Arial" w:hAnsi="Arial" w:cs="Arial" w:hint="eastAsia"/>
          <w:bCs/>
          <w:kern w:val="0"/>
          <w:sz w:val="23"/>
          <w:szCs w:val="23"/>
        </w:rPr>
        <w:t>末，</w:t>
      </w:r>
      <w:r w:rsidR="00DF7852" w:rsidRPr="00DF7852">
        <w:rPr>
          <w:rFonts w:ascii="Arial" w:hAnsi="Arial" w:cs="Arial" w:hint="eastAsia"/>
          <w:bCs/>
          <w:kern w:val="0"/>
          <w:sz w:val="23"/>
          <w:szCs w:val="23"/>
        </w:rPr>
        <w:t>本集团资产总额</w:t>
      </w:r>
      <w:r w:rsidR="00DF7852" w:rsidRPr="00DF7852">
        <w:rPr>
          <w:rFonts w:ascii="Arial" w:hAnsi="Arial" w:cs="Arial" w:hint="eastAsia"/>
          <w:bCs/>
          <w:kern w:val="0"/>
          <w:sz w:val="23"/>
          <w:szCs w:val="23"/>
        </w:rPr>
        <w:t>116,547.63</w:t>
      </w:r>
      <w:r w:rsidR="00DF7852" w:rsidRPr="00DF7852">
        <w:rPr>
          <w:rFonts w:ascii="Arial" w:hAnsi="Arial" w:cs="Arial" w:hint="eastAsia"/>
          <w:bCs/>
          <w:kern w:val="0"/>
          <w:sz w:val="23"/>
          <w:szCs w:val="23"/>
        </w:rPr>
        <w:t>亿元，较上年末增长</w:t>
      </w:r>
      <w:r w:rsidR="00DF7852" w:rsidRPr="00DF7852">
        <w:rPr>
          <w:rFonts w:ascii="Arial" w:hAnsi="Arial" w:cs="Arial" w:hint="eastAsia"/>
          <w:bCs/>
          <w:kern w:val="0"/>
          <w:sz w:val="23"/>
          <w:szCs w:val="23"/>
        </w:rPr>
        <w:t>5.68%</w:t>
      </w:r>
      <w:r w:rsidR="00DF7852" w:rsidRPr="00DF7852">
        <w:rPr>
          <w:rFonts w:ascii="Arial" w:hAnsi="Arial" w:cs="Arial" w:hint="eastAsia"/>
          <w:bCs/>
          <w:kern w:val="0"/>
          <w:sz w:val="23"/>
          <w:szCs w:val="23"/>
        </w:rPr>
        <w:t>，主要是由于本集团贷款和垫款、金融投资等增长。截至报告期末，本集团贷款和垫款总额</w:t>
      </w:r>
      <w:r w:rsidR="00DF7852" w:rsidRPr="00DF7852">
        <w:rPr>
          <w:rFonts w:ascii="Arial" w:hAnsi="Arial" w:cs="Arial" w:hint="eastAsia"/>
          <w:bCs/>
          <w:kern w:val="0"/>
          <w:sz w:val="23"/>
          <w:szCs w:val="23"/>
        </w:rPr>
        <w:t>67,587.51</w:t>
      </w:r>
      <w:r w:rsidR="00DF7852" w:rsidRPr="00DF7852">
        <w:rPr>
          <w:rFonts w:ascii="Arial" w:hAnsi="Arial" w:cs="Arial" w:hint="eastAsia"/>
          <w:bCs/>
          <w:kern w:val="0"/>
          <w:sz w:val="23"/>
          <w:szCs w:val="23"/>
        </w:rPr>
        <w:t>亿元，较上年末增长</w:t>
      </w:r>
      <w:r w:rsidR="00DF7852" w:rsidRPr="00DF7852">
        <w:rPr>
          <w:rFonts w:ascii="Arial" w:hAnsi="Arial" w:cs="Arial" w:hint="eastAsia"/>
          <w:bCs/>
          <w:kern w:val="0"/>
          <w:sz w:val="23"/>
          <w:szCs w:val="23"/>
        </w:rPr>
        <w:t>3.84%</w:t>
      </w:r>
      <w:r w:rsidR="00DF7852" w:rsidRPr="00DF7852">
        <w:rPr>
          <w:rFonts w:ascii="Arial" w:hAnsi="Arial" w:cs="Arial" w:hint="eastAsia"/>
          <w:bCs/>
          <w:kern w:val="0"/>
          <w:sz w:val="23"/>
          <w:szCs w:val="23"/>
        </w:rPr>
        <w:t>；贷款和垫款总额占资产总额的比例为</w:t>
      </w:r>
      <w:r w:rsidR="00DF7852" w:rsidRPr="00DF7852">
        <w:rPr>
          <w:rFonts w:ascii="Arial" w:hAnsi="Arial" w:cs="Arial" w:hint="eastAsia"/>
          <w:bCs/>
          <w:kern w:val="0"/>
          <w:sz w:val="23"/>
          <w:szCs w:val="23"/>
        </w:rPr>
        <w:t>57.99%</w:t>
      </w:r>
      <w:r w:rsidR="00DF7852" w:rsidRPr="00DF7852">
        <w:rPr>
          <w:rFonts w:ascii="Arial" w:hAnsi="Arial" w:cs="Arial" w:hint="eastAsia"/>
          <w:bCs/>
          <w:kern w:val="0"/>
          <w:sz w:val="23"/>
          <w:szCs w:val="23"/>
        </w:rPr>
        <w:t>，较上年末下降</w:t>
      </w:r>
      <w:r w:rsidR="00DF7852" w:rsidRPr="00DF7852">
        <w:rPr>
          <w:rFonts w:ascii="Arial" w:hAnsi="Arial" w:cs="Arial" w:hint="eastAsia"/>
          <w:bCs/>
          <w:kern w:val="0"/>
          <w:sz w:val="23"/>
          <w:szCs w:val="23"/>
        </w:rPr>
        <w:t>1.03</w:t>
      </w:r>
      <w:r w:rsidR="00DF7852" w:rsidRPr="00DF7852">
        <w:rPr>
          <w:rFonts w:ascii="Arial" w:hAnsi="Arial" w:cs="Arial" w:hint="eastAsia"/>
          <w:bCs/>
          <w:kern w:val="0"/>
          <w:sz w:val="23"/>
          <w:szCs w:val="23"/>
        </w:rPr>
        <w:t>个百分点。其中，本集团零售贷款</w:t>
      </w:r>
      <w:r w:rsidR="00DF7852" w:rsidRPr="00DF7852">
        <w:rPr>
          <w:rFonts w:ascii="Arial" w:hAnsi="Arial" w:cs="Arial" w:hint="eastAsia"/>
          <w:bCs/>
          <w:kern w:val="0"/>
          <w:sz w:val="23"/>
          <w:szCs w:val="23"/>
        </w:rPr>
        <w:t>35,738.33</w:t>
      </w:r>
      <w:r w:rsidR="00DF7852" w:rsidRPr="00DF7852">
        <w:rPr>
          <w:rFonts w:ascii="Arial" w:hAnsi="Arial" w:cs="Arial" w:hint="eastAsia"/>
          <w:bCs/>
          <w:kern w:val="0"/>
          <w:sz w:val="23"/>
          <w:szCs w:val="23"/>
        </w:rPr>
        <w:t>亿元，较上年末增长</w:t>
      </w:r>
      <w:r w:rsidR="00DF7852" w:rsidRPr="00DF7852">
        <w:rPr>
          <w:rFonts w:ascii="Arial" w:hAnsi="Arial" w:cs="Arial" w:hint="eastAsia"/>
          <w:bCs/>
          <w:kern w:val="0"/>
          <w:sz w:val="23"/>
          <w:szCs w:val="23"/>
        </w:rPr>
        <w:t>3.95%</w:t>
      </w:r>
      <w:r w:rsidR="00DF7852" w:rsidRPr="00DF7852">
        <w:rPr>
          <w:rFonts w:ascii="Arial" w:hAnsi="Arial" w:cs="Arial" w:hint="eastAsia"/>
          <w:bCs/>
          <w:kern w:val="0"/>
          <w:sz w:val="23"/>
          <w:szCs w:val="23"/>
        </w:rPr>
        <w:t>，增量不及上年同期，主要是信用卡贷款和个人住房贷款规模受市场需求偏弱的影响有所回落，本集团保持对小</w:t>
      </w:r>
      <w:proofErr w:type="gramStart"/>
      <w:r w:rsidR="00DF7852" w:rsidRPr="00DF7852">
        <w:rPr>
          <w:rFonts w:ascii="Arial" w:hAnsi="Arial" w:cs="Arial" w:hint="eastAsia"/>
          <w:bCs/>
          <w:kern w:val="0"/>
          <w:sz w:val="23"/>
          <w:szCs w:val="23"/>
        </w:rPr>
        <w:t>微贷款</w:t>
      </w:r>
      <w:proofErr w:type="gramEnd"/>
      <w:r w:rsidR="00DF7852" w:rsidRPr="00DF7852">
        <w:rPr>
          <w:rFonts w:ascii="Arial" w:hAnsi="Arial" w:cs="Arial" w:hint="eastAsia"/>
          <w:bCs/>
          <w:kern w:val="0"/>
          <w:sz w:val="23"/>
          <w:szCs w:val="23"/>
        </w:rPr>
        <w:t>和消费贷款的组织力度，推动零售贷款平稳增长；本集团公司贷款</w:t>
      </w:r>
      <w:r w:rsidR="00DF7852" w:rsidRPr="00DF7852">
        <w:rPr>
          <w:rFonts w:ascii="Arial" w:hAnsi="Arial" w:cs="Arial" w:hint="eastAsia"/>
          <w:bCs/>
          <w:kern w:val="0"/>
          <w:sz w:val="23"/>
          <w:szCs w:val="23"/>
        </w:rPr>
        <w:t>27,740.00</w:t>
      </w:r>
      <w:r w:rsidR="00DF7852" w:rsidRPr="00DF7852">
        <w:rPr>
          <w:rFonts w:ascii="Arial" w:hAnsi="Arial" w:cs="Arial" w:hint="eastAsia"/>
          <w:bCs/>
          <w:kern w:val="0"/>
          <w:sz w:val="23"/>
          <w:szCs w:val="23"/>
        </w:rPr>
        <w:t>亿元，较上年末增长</w:t>
      </w:r>
      <w:r w:rsidR="00DF7852" w:rsidRPr="00DF7852">
        <w:rPr>
          <w:rFonts w:ascii="Arial" w:hAnsi="Arial" w:cs="Arial" w:hint="eastAsia"/>
          <w:bCs/>
          <w:kern w:val="0"/>
          <w:sz w:val="23"/>
          <w:szCs w:val="23"/>
        </w:rPr>
        <w:t>6.70%</w:t>
      </w:r>
      <w:r w:rsidR="00DF7852" w:rsidRPr="00DF7852">
        <w:rPr>
          <w:rFonts w:ascii="Arial" w:hAnsi="Arial" w:cs="Arial" w:hint="eastAsia"/>
          <w:bCs/>
          <w:kern w:val="0"/>
          <w:sz w:val="23"/>
          <w:szCs w:val="23"/>
        </w:rPr>
        <w:t>，增量高于上年同期，主要是持续加强优质资产组织，保持对实体经济的支持力度，公司贷款相应较快增长。截至报告期末，本集团金融投资余额</w:t>
      </w:r>
      <w:r w:rsidR="00DF7852" w:rsidRPr="00DF7852">
        <w:rPr>
          <w:rFonts w:ascii="Arial" w:hAnsi="Arial" w:cs="Arial" w:hint="eastAsia"/>
          <w:bCs/>
          <w:kern w:val="0"/>
          <w:sz w:val="23"/>
          <w:szCs w:val="23"/>
        </w:rPr>
        <w:t>33,209.61</w:t>
      </w:r>
      <w:r w:rsidR="00DF7852" w:rsidRPr="00DF7852">
        <w:rPr>
          <w:rFonts w:ascii="Arial" w:hAnsi="Arial" w:cs="Arial" w:hint="eastAsia"/>
          <w:bCs/>
          <w:kern w:val="0"/>
          <w:sz w:val="23"/>
          <w:szCs w:val="23"/>
        </w:rPr>
        <w:t>亿元，较上年末增长</w:t>
      </w:r>
      <w:r w:rsidR="00DF7852" w:rsidRPr="00DF7852">
        <w:rPr>
          <w:rFonts w:ascii="Arial" w:hAnsi="Arial" w:cs="Arial" w:hint="eastAsia"/>
          <w:bCs/>
          <w:kern w:val="0"/>
          <w:sz w:val="23"/>
          <w:szCs w:val="23"/>
        </w:rPr>
        <w:t>4.96%</w:t>
      </w:r>
      <w:r w:rsidR="00DF7852" w:rsidRPr="00DF7852">
        <w:rPr>
          <w:rFonts w:ascii="Arial" w:hAnsi="Arial" w:cs="Arial" w:hint="eastAsia"/>
          <w:bCs/>
          <w:kern w:val="0"/>
          <w:sz w:val="23"/>
          <w:szCs w:val="23"/>
        </w:rPr>
        <w:t>。</w:t>
      </w:r>
    </w:p>
    <w:p w14:paraId="3103C352" w14:textId="77777777" w:rsidR="00F6010D" w:rsidRDefault="00F6010D" w:rsidP="00560BED">
      <w:pPr>
        <w:autoSpaceDE w:val="0"/>
        <w:autoSpaceDN w:val="0"/>
        <w:adjustRightInd w:val="0"/>
        <w:rPr>
          <w:rFonts w:ascii="Arial" w:hAnsi="Arial" w:cs="Arial"/>
          <w:bCs/>
          <w:kern w:val="0"/>
          <w:sz w:val="23"/>
          <w:szCs w:val="23"/>
        </w:rPr>
      </w:pPr>
    </w:p>
    <w:p w14:paraId="6AE2EC82" w14:textId="580D9199" w:rsidR="00560BED" w:rsidRDefault="008D3DF5">
      <w:pPr>
        <w:autoSpaceDE w:val="0"/>
        <w:autoSpaceDN w:val="0"/>
        <w:adjustRightInd w:val="0"/>
        <w:rPr>
          <w:rFonts w:ascii="Arial" w:hAnsi="Arial" w:cs="Arial"/>
          <w:bCs/>
          <w:kern w:val="0"/>
          <w:sz w:val="23"/>
          <w:szCs w:val="23"/>
        </w:rPr>
      </w:pPr>
      <w:r w:rsidRPr="00B33858">
        <w:rPr>
          <w:rFonts w:ascii="Arial" w:hAnsi="Arial" w:cs="Arial" w:hint="eastAsia"/>
          <w:bCs/>
          <w:kern w:val="0"/>
          <w:sz w:val="23"/>
          <w:szCs w:val="23"/>
        </w:rPr>
        <w:t>截至</w:t>
      </w:r>
      <w:r w:rsidR="00F6010D">
        <w:rPr>
          <w:rFonts w:ascii="Arial" w:hAnsi="Arial" w:cs="Arial"/>
          <w:bCs/>
          <w:kern w:val="0"/>
          <w:sz w:val="23"/>
          <w:szCs w:val="23"/>
        </w:rPr>
        <w:t>9</w:t>
      </w:r>
      <w:r>
        <w:rPr>
          <w:rFonts w:ascii="Arial" w:hAnsi="Arial" w:cs="Arial" w:hint="eastAsia"/>
          <w:bCs/>
          <w:kern w:val="0"/>
          <w:sz w:val="23"/>
          <w:szCs w:val="23"/>
        </w:rPr>
        <w:t>月</w:t>
      </w:r>
      <w:r w:rsidRPr="00146E9F">
        <w:rPr>
          <w:rFonts w:ascii="Arial" w:hAnsi="Arial" w:cs="Arial" w:hint="eastAsia"/>
          <w:bCs/>
          <w:kern w:val="0"/>
          <w:sz w:val="23"/>
          <w:szCs w:val="23"/>
        </w:rPr>
        <w:t>末，</w:t>
      </w:r>
      <w:bookmarkStart w:id="12" w:name="_Hlk117844063"/>
      <w:r w:rsidR="00DF7852" w:rsidRPr="00DF7852">
        <w:rPr>
          <w:rFonts w:ascii="Arial" w:hAnsi="Arial" w:cs="Arial" w:hint="eastAsia"/>
          <w:bCs/>
          <w:kern w:val="0"/>
          <w:sz w:val="23"/>
          <w:szCs w:val="23"/>
        </w:rPr>
        <w:t>本集团负债总额</w:t>
      </w:r>
      <w:r w:rsidR="00DF7852" w:rsidRPr="00DF7852">
        <w:rPr>
          <w:rFonts w:ascii="Arial" w:hAnsi="Arial" w:cs="Arial" w:hint="eastAsia"/>
          <w:bCs/>
          <w:kern w:val="0"/>
          <w:sz w:val="23"/>
          <w:szCs w:val="23"/>
        </w:rPr>
        <w:t>104,951.28</w:t>
      </w:r>
      <w:r w:rsidR="00DF7852" w:rsidRPr="00DF7852">
        <w:rPr>
          <w:rFonts w:ascii="Arial" w:hAnsi="Arial" w:cs="Arial" w:hint="eastAsia"/>
          <w:bCs/>
          <w:kern w:val="0"/>
          <w:sz w:val="23"/>
          <w:szCs w:val="23"/>
        </w:rPr>
        <w:t>亿元，较上年末增长</w:t>
      </w:r>
      <w:r w:rsidR="00DF7852" w:rsidRPr="00DF7852">
        <w:rPr>
          <w:rFonts w:ascii="Arial" w:hAnsi="Arial" w:cs="Arial" w:hint="eastAsia"/>
          <w:bCs/>
          <w:kern w:val="0"/>
          <w:sz w:val="23"/>
          <w:szCs w:val="23"/>
        </w:rPr>
        <w:t>5.56%</w:t>
      </w:r>
      <w:r w:rsidR="00DF7852" w:rsidRPr="00DF7852">
        <w:rPr>
          <w:rFonts w:ascii="Arial" w:hAnsi="Arial" w:cs="Arial" w:hint="eastAsia"/>
          <w:bCs/>
          <w:kern w:val="0"/>
          <w:sz w:val="23"/>
          <w:szCs w:val="23"/>
        </w:rPr>
        <w:t>，主要是客户存款增长。截</w:t>
      </w:r>
      <w:r w:rsidR="00DF7852" w:rsidRPr="00DF7852">
        <w:rPr>
          <w:rFonts w:ascii="Arial" w:hAnsi="Arial" w:cs="Arial" w:hint="eastAsia"/>
          <w:bCs/>
          <w:kern w:val="0"/>
          <w:sz w:val="23"/>
          <w:szCs w:val="23"/>
        </w:rPr>
        <w:lastRenderedPageBreak/>
        <w:t>至报告期末，本集团客户存款总额</w:t>
      </w:r>
      <w:r w:rsidR="00DF7852" w:rsidRPr="00DF7852">
        <w:rPr>
          <w:rFonts w:ascii="Arial" w:hAnsi="Arial" w:cs="Arial" w:hint="eastAsia"/>
          <w:bCs/>
          <w:kern w:val="0"/>
          <w:sz w:val="23"/>
          <w:szCs w:val="23"/>
        </w:rPr>
        <w:t>87,326.81</w:t>
      </w:r>
      <w:r w:rsidR="00DF7852" w:rsidRPr="00DF7852">
        <w:rPr>
          <w:rFonts w:ascii="Arial" w:hAnsi="Arial" w:cs="Arial" w:hint="eastAsia"/>
          <w:bCs/>
          <w:kern w:val="0"/>
          <w:sz w:val="23"/>
          <w:szCs w:val="23"/>
        </w:rPr>
        <w:t>亿元，较上年末增长</w:t>
      </w:r>
      <w:r w:rsidR="00DF7852" w:rsidRPr="00DF7852">
        <w:rPr>
          <w:rFonts w:ascii="Arial" w:hAnsi="Arial" w:cs="Arial" w:hint="eastAsia"/>
          <w:bCs/>
          <w:kern w:val="0"/>
          <w:sz w:val="23"/>
          <w:szCs w:val="23"/>
        </w:rPr>
        <w:t>7.08%</w:t>
      </w:r>
      <w:r w:rsidR="00DF7852" w:rsidRPr="00DF7852">
        <w:rPr>
          <w:rFonts w:ascii="Arial" w:hAnsi="Arial" w:cs="Arial" w:hint="eastAsia"/>
          <w:bCs/>
          <w:kern w:val="0"/>
          <w:sz w:val="23"/>
          <w:szCs w:val="23"/>
        </w:rPr>
        <w:t>，占本集团负债总额的</w:t>
      </w:r>
      <w:r w:rsidR="00DF7852" w:rsidRPr="00DF7852">
        <w:rPr>
          <w:rFonts w:ascii="Arial" w:hAnsi="Arial" w:cs="Arial" w:hint="eastAsia"/>
          <w:bCs/>
          <w:kern w:val="0"/>
          <w:sz w:val="23"/>
          <w:szCs w:val="23"/>
        </w:rPr>
        <w:t>83.21%</w:t>
      </w:r>
      <w:r w:rsidR="00DF7852" w:rsidRPr="00DF7852">
        <w:rPr>
          <w:rFonts w:ascii="Arial" w:hAnsi="Arial" w:cs="Arial" w:hint="eastAsia"/>
          <w:bCs/>
          <w:kern w:val="0"/>
          <w:sz w:val="23"/>
          <w:szCs w:val="23"/>
        </w:rPr>
        <w:t>，为本集团的主要资金来源。其中，公司客户存款余额</w:t>
      </w:r>
      <w:r w:rsidR="00DF7852" w:rsidRPr="00DF7852">
        <w:rPr>
          <w:rFonts w:ascii="Arial" w:hAnsi="Arial" w:cs="Arial" w:hint="eastAsia"/>
          <w:bCs/>
          <w:kern w:val="0"/>
          <w:sz w:val="23"/>
          <w:szCs w:val="23"/>
        </w:rPr>
        <w:t>48,861.46</w:t>
      </w:r>
      <w:r w:rsidR="00DF7852" w:rsidRPr="00DF7852">
        <w:rPr>
          <w:rFonts w:ascii="Arial" w:hAnsi="Arial" w:cs="Arial" w:hint="eastAsia"/>
          <w:bCs/>
          <w:kern w:val="0"/>
          <w:sz w:val="23"/>
          <w:szCs w:val="23"/>
        </w:rPr>
        <w:t>亿元，较上年末增长</w:t>
      </w:r>
      <w:r w:rsidR="00DF7852" w:rsidRPr="00DF7852">
        <w:rPr>
          <w:rFonts w:ascii="Arial" w:hAnsi="Arial" w:cs="Arial" w:hint="eastAsia"/>
          <w:bCs/>
          <w:kern w:val="0"/>
          <w:sz w:val="23"/>
          <w:szCs w:val="23"/>
        </w:rPr>
        <w:t>4.84%</w:t>
      </w:r>
      <w:r w:rsidR="00DF7852" w:rsidRPr="00DF7852">
        <w:rPr>
          <w:rFonts w:ascii="Arial" w:hAnsi="Arial" w:cs="Arial" w:hint="eastAsia"/>
          <w:bCs/>
          <w:kern w:val="0"/>
          <w:sz w:val="23"/>
          <w:szCs w:val="23"/>
        </w:rPr>
        <w:t>；零售客户存款余额</w:t>
      </w:r>
      <w:r w:rsidR="00DF7852" w:rsidRPr="00DF7852">
        <w:rPr>
          <w:rFonts w:ascii="Arial" w:hAnsi="Arial" w:cs="Arial" w:hint="eastAsia"/>
          <w:bCs/>
          <w:kern w:val="0"/>
          <w:sz w:val="23"/>
          <w:szCs w:val="23"/>
        </w:rPr>
        <w:t>38,465.35</w:t>
      </w:r>
      <w:r w:rsidR="00DF7852" w:rsidRPr="00DF7852">
        <w:rPr>
          <w:rFonts w:ascii="Arial" w:hAnsi="Arial" w:cs="Arial" w:hint="eastAsia"/>
          <w:bCs/>
          <w:kern w:val="0"/>
          <w:sz w:val="23"/>
          <w:szCs w:val="23"/>
        </w:rPr>
        <w:t>亿元，较上年末增长</w:t>
      </w:r>
      <w:r w:rsidR="00DF7852" w:rsidRPr="00DF7852">
        <w:rPr>
          <w:rFonts w:ascii="Arial" w:hAnsi="Arial" w:cs="Arial" w:hint="eastAsia"/>
          <w:bCs/>
          <w:kern w:val="0"/>
          <w:sz w:val="23"/>
          <w:szCs w:val="23"/>
        </w:rPr>
        <w:t>10.06%</w:t>
      </w:r>
      <w:r w:rsidR="00DF7852" w:rsidRPr="00DF7852">
        <w:rPr>
          <w:rFonts w:ascii="Arial" w:hAnsi="Arial" w:cs="Arial" w:hint="eastAsia"/>
          <w:bCs/>
          <w:kern w:val="0"/>
          <w:sz w:val="23"/>
          <w:szCs w:val="23"/>
        </w:rPr>
        <w:t>。截至报告期末，本集团客户存款中，活期存款占比</w:t>
      </w:r>
      <w:r w:rsidR="00DF7852" w:rsidRPr="00DF7852">
        <w:rPr>
          <w:rFonts w:ascii="Arial" w:hAnsi="Arial" w:cs="Arial" w:hint="eastAsia"/>
          <w:bCs/>
          <w:kern w:val="0"/>
          <w:sz w:val="23"/>
          <w:szCs w:val="23"/>
        </w:rPr>
        <w:t>48.70%</w:t>
      </w:r>
      <w:r w:rsidR="00DF7852" w:rsidRPr="00DF7852">
        <w:rPr>
          <w:rFonts w:ascii="Arial" w:hAnsi="Arial" w:cs="Arial" w:hint="eastAsia"/>
          <w:bCs/>
          <w:kern w:val="0"/>
          <w:sz w:val="23"/>
          <w:szCs w:val="23"/>
        </w:rPr>
        <w:t>，定期存款占比</w:t>
      </w:r>
      <w:r w:rsidR="00DF7852" w:rsidRPr="00DF7852">
        <w:rPr>
          <w:rFonts w:ascii="Arial" w:hAnsi="Arial" w:cs="Arial" w:hint="eastAsia"/>
          <w:bCs/>
          <w:kern w:val="0"/>
          <w:sz w:val="23"/>
          <w:szCs w:val="23"/>
        </w:rPr>
        <w:t>51.30%</w:t>
      </w:r>
      <w:r w:rsidR="00DF7852" w:rsidRPr="00DF7852">
        <w:rPr>
          <w:rFonts w:ascii="Arial" w:hAnsi="Arial" w:cs="Arial" w:hint="eastAsia"/>
          <w:bCs/>
          <w:kern w:val="0"/>
          <w:sz w:val="23"/>
          <w:szCs w:val="23"/>
        </w:rPr>
        <w:t>。截至报告期末，本集团活期存款中，公司客户存款占比</w:t>
      </w:r>
      <w:r w:rsidR="00DF7852" w:rsidRPr="00DF7852">
        <w:rPr>
          <w:rFonts w:ascii="Arial" w:hAnsi="Arial" w:cs="Arial" w:hint="eastAsia"/>
          <w:bCs/>
          <w:kern w:val="0"/>
          <w:sz w:val="23"/>
          <w:szCs w:val="23"/>
        </w:rPr>
        <w:t>58.12%</w:t>
      </w:r>
      <w:r w:rsidR="00DF7852" w:rsidRPr="00DF7852">
        <w:rPr>
          <w:rFonts w:ascii="Arial" w:hAnsi="Arial" w:cs="Arial" w:hint="eastAsia"/>
          <w:bCs/>
          <w:kern w:val="0"/>
          <w:sz w:val="23"/>
          <w:szCs w:val="23"/>
        </w:rPr>
        <w:t>，零售客户存款占比</w:t>
      </w:r>
      <w:r w:rsidR="00DF7852" w:rsidRPr="00DF7852">
        <w:rPr>
          <w:rFonts w:ascii="Arial" w:hAnsi="Arial" w:cs="Arial" w:hint="eastAsia"/>
          <w:bCs/>
          <w:kern w:val="0"/>
          <w:sz w:val="23"/>
          <w:szCs w:val="23"/>
        </w:rPr>
        <w:t>41.88%</w:t>
      </w:r>
      <w:r w:rsidR="00DF7852" w:rsidRPr="00DF7852">
        <w:rPr>
          <w:rFonts w:ascii="Arial" w:hAnsi="Arial" w:cs="Arial" w:hint="eastAsia"/>
          <w:bCs/>
          <w:kern w:val="0"/>
          <w:sz w:val="23"/>
          <w:szCs w:val="23"/>
        </w:rPr>
        <w:t>；定期存款中，公司客户存款占比</w:t>
      </w:r>
      <w:r w:rsidR="00DF7852" w:rsidRPr="00DF7852">
        <w:rPr>
          <w:rFonts w:ascii="Arial" w:hAnsi="Arial" w:cs="Arial" w:hint="eastAsia"/>
          <w:bCs/>
          <w:kern w:val="0"/>
          <w:sz w:val="23"/>
          <w:szCs w:val="23"/>
        </w:rPr>
        <w:t>53.90%</w:t>
      </w:r>
      <w:r w:rsidR="00DF7852" w:rsidRPr="00DF7852">
        <w:rPr>
          <w:rFonts w:ascii="Arial" w:hAnsi="Arial" w:cs="Arial" w:hint="eastAsia"/>
          <w:bCs/>
          <w:kern w:val="0"/>
          <w:sz w:val="23"/>
          <w:szCs w:val="23"/>
        </w:rPr>
        <w:t>，零售客户存款占比</w:t>
      </w:r>
      <w:r w:rsidR="00DF7852" w:rsidRPr="00DF7852">
        <w:rPr>
          <w:rFonts w:ascii="Arial" w:hAnsi="Arial" w:cs="Arial" w:hint="eastAsia"/>
          <w:bCs/>
          <w:kern w:val="0"/>
          <w:sz w:val="23"/>
          <w:szCs w:val="23"/>
        </w:rPr>
        <w:t>46.10%</w:t>
      </w:r>
      <w:r w:rsidR="00DF7852" w:rsidRPr="00DF7852">
        <w:rPr>
          <w:rFonts w:ascii="Arial" w:hAnsi="Arial" w:cs="Arial" w:hint="eastAsia"/>
          <w:bCs/>
          <w:kern w:val="0"/>
          <w:sz w:val="23"/>
          <w:szCs w:val="23"/>
        </w:rPr>
        <w:t>。</w:t>
      </w:r>
      <w:r w:rsidR="00DF7852" w:rsidRPr="00DF7852">
        <w:rPr>
          <w:rFonts w:ascii="Arial" w:hAnsi="Arial" w:cs="Arial" w:hint="eastAsia"/>
          <w:bCs/>
          <w:kern w:val="0"/>
          <w:sz w:val="23"/>
          <w:szCs w:val="23"/>
        </w:rPr>
        <w:t>2024</w:t>
      </w:r>
      <w:r w:rsidR="00DF7852" w:rsidRPr="00DF7852">
        <w:rPr>
          <w:rFonts w:ascii="Arial" w:hAnsi="Arial" w:cs="Arial" w:hint="eastAsia"/>
          <w:bCs/>
          <w:kern w:val="0"/>
          <w:sz w:val="23"/>
          <w:szCs w:val="23"/>
        </w:rPr>
        <w:t>年</w:t>
      </w:r>
      <w:r w:rsidR="00DF7852" w:rsidRPr="00DF7852">
        <w:rPr>
          <w:rFonts w:ascii="Arial" w:hAnsi="Arial" w:cs="Arial" w:hint="eastAsia"/>
          <w:bCs/>
          <w:kern w:val="0"/>
          <w:sz w:val="23"/>
          <w:szCs w:val="23"/>
        </w:rPr>
        <w:t>1-9</w:t>
      </w:r>
      <w:r w:rsidR="00DF7852" w:rsidRPr="00DF7852">
        <w:rPr>
          <w:rFonts w:ascii="Arial" w:hAnsi="Arial" w:cs="Arial" w:hint="eastAsia"/>
          <w:bCs/>
          <w:kern w:val="0"/>
          <w:sz w:val="23"/>
          <w:szCs w:val="23"/>
        </w:rPr>
        <w:t>月，本集团活期存款日均余额占客户存款日均余额的比例为</w:t>
      </w:r>
      <w:r w:rsidR="00DF7852" w:rsidRPr="00DF7852">
        <w:rPr>
          <w:rFonts w:ascii="Arial" w:hAnsi="Arial" w:cs="Arial" w:hint="eastAsia"/>
          <w:bCs/>
          <w:kern w:val="0"/>
          <w:sz w:val="23"/>
          <w:szCs w:val="23"/>
        </w:rPr>
        <w:t>50.60%</w:t>
      </w:r>
      <w:r w:rsidR="00DF7852" w:rsidRPr="00DF7852">
        <w:rPr>
          <w:rFonts w:ascii="Arial" w:hAnsi="Arial" w:cs="Arial" w:hint="eastAsia"/>
          <w:bCs/>
          <w:kern w:val="0"/>
          <w:sz w:val="23"/>
          <w:szCs w:val="23"/>
        </w:rPr>
        <w:t>，较上年全年下降</w:t>
      </w:r>
      <w:r w:rsidR="00DF7852" w:rsidRPr="00DF7852">
        <w:rPr>
          <w:rFonts w:ascii="Arial" w:hAnsi="Arial" w:cs="Arial" w:hint="eastAsia"/>
          <w:bCs/>
          <w:kern w:val="0"/>
          <w:sz w:val="23"/>
          <w:szCs w:val="23"/>
        </w:rPr>
        <w:t>6.48</w:t>
      </w:r>
      <w:r w:rsidR="00DF7852" w:rsidRPr="00DF7852">
        <w:rPr>
          <w:rFonts w:ascii="Arial" w:hAnsi="Arial" w:cs="Arial" w:hint="eastAsia"/>
          <w:bCs/>
          <w:kern w:val="0"/>
          <w:sz w:val="23"/>
          <w:szCs w:val="23"/>
        </w:rPr>
        <w:t>个百分点。</w:t>
      </w:r>
    </w:p>
    <w:p w14:paraId="6D8C0591" w14:textId="77777777" w:rsidR="00DF7852" w:rsidRDefault="00DF7852">
      <w:pPr>
        <w:autoSpaceDE w:val="0"/>
        <w:autoSpaceDN w:val="0"/>
        <w:adjustRightInd w:val="0"/>
        <w:rPr>
          <w:rFonts w:ascii="Arial" w:hAnsi="Arial" w:cs="Arial"/>
          <w:b/>
          <w:kern w:val="0"/>
          <w:sz w:val="23"/>
          <w:szCs w:val="23"/>
        </w:rPr>
      </w:pPr>
    </w:p>
    <w:bookmarkEnd w:id="12"/>
    <w:p w14:paraId="026BC8F2" w14:textId="3943FE67" w:rsidR="00515744" w:rsidRDefault="00624CDF">
      <w:pPr>
        <w:autoSpaceDE w:val="0"/>
        <w:autoSpaceDN w:val="0"/>
        <w:adjustRightInd w:val="0"/>
        <w:rPr>
          <w:rFonts w:ascii="Arial" w:hAnsi="Arial" w:cs="Arial"/>
          <w:bCs/>
          <w:kern w:val="0"/>
          <w:sz w:val="23"/>
          <w:szCs w:val="23"/>
        </w:rPr>
      </w:pPr>
      <w:r w:rsidRPr="00624CDF">
        <w:rPr>
          <w:rFonts w:ascii="Arial" w:hAnsi="Arial" w:cs="Arial" w:hint="eastAsia"/>
          <w:b/>
          <w:kern w:val="0"/>
          <w:sz w:val="23"/>
          <w:szCs w:val="23"/>
        </w:rPr>
        <w:t>净利息收入和净息差</w:t>
      </w:r>
      <w:proofErr w:type="gramStart"/>
      <w:r w:rsidRPr="00624CDF">
        <w:rPr>
          <w:rFonts w:ascii="Arial" w:hAnsi="Arial" w:cs="Arial" w:hint="eastAsia"/>
          <w:b/>
          <w:kern w:val="0"/>
          <w:sz w:val="23"/>
          <w:szCs w:val="23"/>
        </w:rPr>
        <w:t>降幅收</w:t>
      </w:r>
      <w:proofErr w:type="gramEnd"/>
      <w:r w:rsidRPr="00624CDF">
        <w:rPr>
          <w:rFonts w:ascii="Arial" w:hAnsi="Arial" w:cs="Arial" w:hint="eastAsia"/>
          <w:b/>
          <w:kern w:val="0"/>
          <w:sz w:val="23"/>
          <w:szCs w:val="23"/>
        </w:rPr>
        <w:t>窄，继续保持</w:t>
      </w:r>
      <w:proofErr w:type="gramStart"/>
      <w:r w:rsidRPr="00624CDF">
        <w:rPr>
          <w:rFonts w:ascii="Arial" w:hAnsi="Arial" w:cs="Arial" w:hint="eastAsia"/>
          <w:b/>
          <w:kern w:val="0"/>
          <w:sz w:val="23"/>
          <w:szCs w:val="23"/>
        </w:rPr>
        <w:t>低资金</w:t>
      </w:r>
      <w:proofErr w:type="gramEnd"/>
      <w:r w:rsidRPr="00624CDF">
        <w:rPr>
          <w:rFonts w:ascii="Arial" w:hAnsi="Arial" w:cs="Arial" w:hint="eastAsia"/>
          <w:b/>
          <w:kern w:val="0"/>
          <w:sz w:val="23"/>
          <w:szCs w:val="23"/>
        </w:rPr>
        <w:t>成本优势。</w:t>
      </w:r>
      <w:r w:rsidR="00515744" w:rsidRPr="00515744">
        <w:rPr>
          <w:rFonts w:ascii="Arial" w:hAnsi="Arial" w:cs="Arial" w:hint="eastAsia"/>
          <w:bCs/>
          <w:kern w:val="0"/>
          <w:sz w:val="23"/>
          <w:szCs w:val="23"/>
        </w:rPr>
        <w:t>2024</w:t>
      </w:r>
      <w:r w:rsidR="00515744" w:rsidRPr="00515744">
        <w:rPr>
          <w:rFonts w:ascii="Arial" w:hAnsi="Arial" w:cs="Arial" w:hint="eastAsia"/>
          <w:bCs/>
          <w:kern w:val="0"/>
          <w:sz w:val="23"/>
          <w:szCs w:val="23"/>
        </w:rPr>
        <w:t>年</w:t>
      </w:r>
      <w:r w:rsidR="00515744" w:rsidRPr="00515744">
        <w:rPr>
          <w:rFonts w:ascii="Arial" w:hAnsi="Arial" w:cs="Arial" w:hint="eastAsia"/>
          <w:bCs/>
          <w:kern w:val="0"/>
          <w:sz w:val="23"/>
          <w:szCs w:val="23"/>
        </w:rPr>
        <w:t>1-9</w:t>
      </w:r>
      <w:r w:rsidR="00515744" w:rsidRPr="00515744">
        <w:rPr>
          <w:rFonts w:ascii="Arial" w:hAnsi="Arial" w:cs="Arial" w:hint="eastAsia"/>
          <w:bCs/>
          <w:kern w:val="0"/>
          <w:sz w:val="23"/>
          <w:szCs w:val="23"/>
        </w:rPr>
        <w:t>月，本集团实现净利息收入</w:t>
      </w:r>
      <w:r w:rsidR="00515744" w:rsidRPr="00515744">
        <w:rPr>
          <w:rFonts w:ascii="Arial" w:hAnsi="Arial" w:cs="Arial" w:hint="eastAsia"/>
          <w:bCs/>
          <w:kern w:val="0"/>
          <w:sz w:val="23"/>
          <w:szCs w:val="23"/>
        </w:rPr>
        <w:t>1,572.98</w:t>
      </w:r>
      <w:r w:rsidR="00515744" w:rsidRPr="00515744">
        <w:rPr>
          <w:rFonts w:ascii="Arial" w:hAnsi="Arial" w:cs="Arial" w:hint="eastAsia"/>
          <w:bCs/>
          <w:kern w:val="0"/>
          <w:sz w:val="23"/>
          <w:szCs w:val="23"/>
        </w:rPr>
        <w:t>亿元，同比下降</w:t>
      </w:r>
      <w:r w:rsidR="00515744" w:rsidRPr="00515744">
        <w:rPr>
          <w:rFonts w:ascii="Arial" w:hAnsi="Arial" w:cs="Arial" w:hint="eastAsia"/>
          <w:bCs/>
          <w:kern w:val="0"/>
          <w:sz w:val="23"/>
          <w:szCs w:val="23"/>
        </w:rPr>
        <w:t>3.07%</w:t>
      </w:r>
      <w:r w:rsidR="00515744" w:rsidRPr="00515744">
        <w:rPr>
          <w:rFonts w:ascii="Arial" w:hAnsi="Arial" w:cs="Arial" w:hint="eastAsia"/>
          <w:bCs/>
          <w:kern w:val="0"/>
          <w:sz w:val="23"/>
          <w:szCs w:val="23"/>
        </w:rPr>
        <w:t>，</w:t>
      </w:r>
      <w:bookmarkStart w:id="13" w:name="_Hlk181094851"/>
      <w:r w:rsidR="00515744" w:rsidRPr="00515744">
        <w:rPr>
          <w:rFonts w:ascii="Arial" w:hAnsi="Arial" w:cs="Arial" w:hint="eastAsia"/>
          <w:bCs/>
          <w:kern w:val="0"/>
          <w:sz w:val="23"/>
          <w:szCs w:val="23"/>
        </w:rPr>
        <w:t>在营业收入中占比为</w:t>
      </w:r>
      <w:r w:rsidR="00515744" w:rsidRPr="00515744">
        <w:rPr>
          <w:rFonts w:ascii="Arial" w:hAnsi="Arial" w:cs="Arial" w:hint="eastAsia"/>
          <w:bCs/>
          <w:kern w:val="0"/>
          <w:sz w:val="23"/>
          <w:szCs w:val="23"/>
        </w:rPr>
        <w:t>62.24%</w:t>
      </w:r>
      <w:bookmarkEnd w:id="13"/>
      <w:r w:rsidR="00E74B45">
        <w:rPr>
          <w:rFonts w:ascii="Arial" w:hAnsi="Arial" w:cs="Arial" w:hint="eastAsia"/>
          <w:bCs/>
          <w:kern w:val="0"/>
          <w:sz w:val="23"/>
          <w:szCs w:val="23"/>
        </w:rPr>
        <w:t>（</w:t>
      </w:r>
      <w:r w:rsidR="00E74B45">
        <w:rPr>
          <w:rFonts w:ascii="Arial" w:hAnsi="Arial" w:cs="Arial" w:hint="eastAsia"/>
          <w:bCs/>
          <w:kern w:val="0"/>
          <w:sz w:val="23"/>
          <w:szCs w:val="23"/>
        </w:rPr>
        <w:t>H</w:t>
      </w:r>
      <w:r w:rsidR="00E74B45">
        <w:rPr>
          <w:rFonts w:ascii="Arial" w:hAnsi="Arial" w:cs="Arial" w:hint="eastAsia"/>
          <w:bCs/>
          <w:kern w:val="0"/>
          <w:sz w:val="23"/>
          <w:szCs w:val="23"/>
        </w:rPr>
        <w:t>股：</w:t>
      </w:r>
      <w:r w:rsidR="00E74B45" w:rsidRPr="00515744">
        <w:rPr>
          <w:rFonts w:ascii="Arial" w:hAnsi="Arial" w:cs="Arial" w:hint="eastAsia"/>
          <w:bCs/>
          <w:kern w:val="0"/>
          <w:sz w:val="23"/>
          <w:szCs w:val="23"/>
        </w:rPr>
        <w:t>在营业收入中占比为</w:t>
      </w:r>
      <w:r w:rsidR="00E74B45" w:rsidRPr="00515744">
        <w:rPr>
          <w:rFonts w:ascii="Arial" w:hAnsi="Arial" w:cs="Arial" w:hint="eastAsia"/>
          <w:bCs/>
          <w:kern w:val="0"/>
          <w:sz w:val="23"/>
          <w:szCs w:val="23"/>
        </w:rPr>
        <w:t>62.2</w:t>
      </w:r>
      <w:r w:rsidR="00E74B45">
        <w:rPr>
          <w:rFonts w:ascii="Arial" w:hAnsi="Arial" w:cs="Arial" w:hint="eastAsia"/>
          <w:bCs/>
          <w:kern w:val="0"/>
          <w:sz w:val="23"/>
          <w:szCs w:val="23"/>
        </w:rPr>
        <w:t>7</w:t>
      </w:r>
      <w:r w:rsidR="00E74B45" w:rsidRPr="00515744">
        <w:rPr>
          <w:rFonts w:ascii="Arial" w:hAnsi="Arial" w:cs="Arial" w:hint="eastAsia"/>
          <w:bCs/>
          <w:kern w:val="0"/>
          <w:sz w:val="23"/>
          <w:szCs w:val="23"/>
        </w:rPr>
        <w:t>%</w:t>
      </w:r>
      <w:r w:rsidR="00E74B45">
        <w:rPr>
          <w:rFonts w:ascii="Arial" w:hAnsi="Arial" w:cs="Arial" w:hint="eastAsia"/>
          <w:bCs/>
          <w:kern w:val="0"/>
          <w:sz w:val="23"/>
          <w:szCs w:val="23"/>
        </w:rPr>
        <w:t>）</w:t>
      </w:r>
      <w:r w:rsidR="00515744" w:rsidRPr="00515744">
        <w:rPr>
          <w:rFonts w:ascii="Arial" w:hAnsi="Arial" w:cs="Arial" w:hint="eastAsia"/>
          <w:bCs/>
          <w:kern w:val="0"/>
          <w:sz w:val="23"/>
          <w:szCs w:val="23"/>
        </w:rPr>
        <w:t>。</w:t>
      </w:r>
      <w:r w:rsidR="002C3D77" w:rsidRPr="002C3D77">
        <w:rPr>
          <w:rFonts w:ascii="Arial" w:hAnsi="Arial" w:cs="Arial" w:hint="eastAsia"/>
          <w:bCs/>
          <w:kern w:val="0"/>
          <w:sz w:val="23"/>
          <w:szCs w:val="23"/>
        </w:rPr>
        <w:t>本集团计息负债成本率</w:t>
      </w:r>
      <w:r w:rsidR="002C3D77" w:rsidRPr="002C3D77">
        <w:rPr>
          <w:rFonts w:ascii="Arial" w:hAnsi="Arial" w:cs="Arial" w:hint="eastAsia"/>
          <w:bCs/>
          <w:kern w:val="0"/>
          <w:sz w:val="23"/>
          <w:szCs w:val="23"/>
        </w:rPr>
        <w:t>1.69%</w:t>
      </w:r>
      <w:r w:rsidR="002C3D77" w:rsidRPr="002C3D77">
        <w:rPr>
          <w:rFonts w:ascii="Arial" w:hAnsi="Arial" w:cs="Arial" w:hint="eastAsia"/>
          <w:bCs/>
          <w:kern w:val="0"/>
          <w:sz w:val="23"/>
          <w:szCs w:val="23"/>
        </w:rPr>
        <w:t>，同比下降</w:t>
      </w:r>
      <w:r w:rsidR="002C3D77" w:rsidRPr="002C3D77">
        <w:rPr>
          <w:rFonts w:ascii="Arial" w:hAnsi="Arial" w:cs="Arial" w:hint="eastAsia"/>
          <w:bCs/>
          <w:kern w:val="0"/>
          <w:sz w:val="23"/>
          <w:szCs w:val="23"/>
        </w:rPr>
        <w:t>3</w:t>
      </w:r>
      <w:r w:rsidR="002C3D77">
        <w:rPr>
          <w:rFonts w:ascii="Arial" w:hAnsi="Arial" w:cs="Arial" w:hint="eastAsia"/>
          <w:bCs/>
          <w:kern w:val="0"/>
          <w:sz w:val="23"/>
          <w:szCs w:val="23"/>
        </w:rPr>
        <w:t>个基点</w:t>
      </w:r>
      <w:r w:rsidR="002C3D77" w:rsidRPr="002C3D77">
        <w:rPr>
          <w:rFonts w:ascii="Arial" w:hAnsi="Arial" w:cs="Arial" w:hint="eastAsia"/>
          <w:bCs/>
          <w:kern w:val="0"/>
          <w:sz w:val="23"/>
          <w:szCs w:val="23"/>
        </w:rPr>
        <w:t>；其中，客户存款平均成本率</w:t>
      </w:r>
      <w:r w:rsidR="002C3D77" w:rsidRPr="002C3D77">
        <w:rPr>
          <w:rFonts w:ascii="Arial" w:hAnsi="Arial" w:cs="Arial" w:hint="eastAsia"/>
          <w:bCs/>
          <w:kern w:val="0"/>
          <w:sz w:val="23"/>
          <w:szCs w:val="23"/>
        </w:rPr>
        <w:t>1.58%</w:t>
      </w:r>
      <w:r w:rsidR="002C3D77" w:rsidRPr="002C3D77">
        <w:rPr>
          <w:rFonts w:ascii="Arial" w:hAnsi="Arial" w:cs="Arial" w:hint="eastAsia"/>
          <w:bCs/>
          <w:kern w:val="0"/>
          <w:sz w:val="23"/>
          <w:szCs w:val="23"/>
        </w:rPr>
        <w:t>，同比下降</w:t>
      </w:r>
      <w:r w:rsidR="002C3D77" w:rsidRPr="002C3D77">
        <w:rPr>
          <w:rFonts w:ascii="Arial" w:hAnsi="Arial" w:cs="Arial" w:hint="eastAsia"/>
          <w:bCs/>
          <w:kern w:val="0"/>
          <w:sz w:val="23"/>
          <w:szCs w:val="23"/>
        </w:rPr>
        <w:t>4</w:t>
      </w:r>
      <w:r w:rsidR="002C3D77">
        <w:rPr>
          <w:rFonts w:ascii="Arial" w:hAnsi="Arial" w:cs="Arial" w:hint="eastAsia"/>
          <w:bCs/>
          <w:kern w:val="0"/>
          <w:sz w:val="23"/>
          <w:szCs w:val="23"/>
        </w:rPr>
        <w:t>个基点</w:t>
      </w:r>
      <w:r w:rsidR="002C3D77" w:rsidRPr="002C3D77">
        <w:rPr>
          <w:rFonts w:ascii="Arial" w:hAnsi="Arial" w:cs="Arial" w:hint="eastAsia"/>
          <w:bCs/>
          <w:kern w:val="0"/>
          <w:sz w:val="23"/>
          <w:szCs w:val="23"/>
        </w:rPr>
        <w:t>。</w:t>
      </w:r>
      <w:r w:rsidR="00515744" w:rsidRPr="00515744">
        <w:rPr>
          <w:rFonts w:ascii="Arial" w:hAnsi="Arial" w:cs="Arial" w:hint="eastAsia"/>
          <w:bCs/>
          <w:kern w:val="0"/>
          <w:sz w:val="23"/>
          <w:szCs w:val="23"/>
        </w:rPr>
        <w:t>本集团净利差</w:t>
      </w:r>
      <w:r w:rsidR="00515744" w:rsidRPr="00515744">
        <w:rPr>
          <w:rFonts w:ascii="Arial" w:hAnsi="Arial" w:cs="Arial" w:hint="eastAsia"/>
          <w:bCs/>
          <w:kern w:val="0"/>
          <w:sz w:val="23"/>
          <w:szCs w:val="23"/>
        </w:rPr>
        <w:t>1.87%</w:t>
      </w:r>
      <w:r w:rsidR="00515744" w:rsidRPr="00515744">
        <w:rPr>
          <w:rFonts w:ascii="Arial" w:hAnsi="Arial" w:cs="Arial" w:hint="eastAsia"/>
          <w:bCs/>
          <w:kern w:val="0"/>
          <w:sz w:val="23"/>
          <w:szCs w:val="23"/>
        </w:rPr>
        <w:t>，净利息收益率</w:t>
      </w:r>
      <w:r w:rsidR="00515744" w:rsidRPr="00515744">
        <w:rPr>
          <w:rFonts w:ascii="Arial" w:hAnsi="Arial" w:cs="Arial" w:hint="eastAsia"/>
          <w:bCs/>
          <w:kern w:val="0"/>
          <w:sz w:val="23"/>
          <w:szCs w:val="23"/>
        </w:rPr>
        <w:t>1.99%</w:t>
      </w:r>
      <w:r w:rsidR="00515744" w:rsidRPr="00515744">
        <w:rPr>
          <w:rFonts w:ascii="Arial" w:hAnsi="Arial" w:cs="Arial" w:hint="eastAsia"/>
          <w:bCs/>
          <w:kern w:val="0"/>
          <w:sz w:val="23"/>
          <w:szCs w:val="23"/>
        </w:rPr>
        <w:t>，同比均下降</w:t>
      </w:r>
      <w:r w:rsidR="00515744" w:rsidRPr="00515744">
        <w:rPr>
          <w:rFonts w:ascii="Arial" w:hAnsi="Arial" w:cs="Arial" w:hint="eastAsia"/>
          <w:bCs/>
          <w:kern w:val="0"/>
          <w:sz w:val="23"/>
          <w:szCs w:val="23"/>
        </w:rPr>
        <w:t>20</w:t>
      </w:r>
      <w:r w:rsidR="00515744" w:rsidRPr="00515744">
        <w:rPr>
          <w:rFonts w:ascii="Arial" w:hAnsi="Arial" w:cs="Arial" w:hint="eastAsia"/>
          <w:bCs/>
          <w:kern w:val="0"/>
          <w:sz w:val="23"/>
          <w:szCs w:val="23"/>
        </w:rPr>
        <w:t>个基点</w:t>
      </w:r>
      <w:r w:rsidR="00BA1C6A">
        <w:rPr>
          <w:rFonts w:ascii="Arial" w:hAnsi="Arial" w:cs="Arial" w:hint="eastAsia"/>
          <w:bCs/>
          <w:kern w:val="0"/>
          <w:sz w:val="23"/>
          <w:szCs w:val="23"/>
        </w:rPr>
        <w:t>，</w:t>
      </w:r>
      <w:r w:rsidR="00BA1C6A" w:rsidRPr="00BA1C6A">
        <w:rPr>
          <w:rFonts w:ascii="Arial" w:hAnsi="Arial" w:cs="Arial" w:hint="eastAsia"/>
          <w:bCs/>
          <w:kern w:val="0"/>
          <w:sz w:val="23"/>
          <w:szCs w:val="23"/>
        </w:rPr>
        <w:t>降幅较上半年收窄</w:t>
      </w:r>
      <w:r w:rsidR="00BA1C6A" w:rsidRPr="00BA1C6A">
        <w:rPr>
          <w:rFonts w:ascii="Arial" w:hAnsi="Arial" w:cs="Arial" w:hint="eastAsia"/>
          <w:bCs/>
          <w:kern w:val="0"/>
          <w:sz w:val="23"/>
          <w:szCs w:val="23"/>
        </w:rPr>
        <w:t>3</w:t>
      </w:r>
      <w:r w:rsidR="00BA1C6A" w:rsidRPr="00BA1C6A">
        <w:rPr>
          <w:rFonts w:ascii="Arial" w:hAnsi="Arial" w:cs="Arial" w:hint="eastAsia"/>
          <w:bCs/>
          <w:kern w:val="0"/>
          <w:sz w:val="23"/>
          <w:szCs w:val="23"/>
        </w:rPr>
        <w:t>个基点</w:t>
      </w:r>
      <w:r w:rsidR="00515744" w:rsidRPr="00515744">
        <w:rPr>
          <w:rFonts w:ascii="Arial" w:hAnsi="Arial" w:cs="Arial" w:hint="eastAsia"/>
          <w:bCs/>
          <w:kern w:val="0"/>
          <w:sz w:val="23"/>
          <w:szCs w:val="23"/>
        </w:rPr>
        <w:t>。受贷款市场报价利率（</w:t>
      </w:r>
      <w:r w:rsidR="00515744" w:rsidRPr="00515744">
        <w:rPr>
          <w:rFonts w:ascii="Arial" w:hAnsi="Arial" w:cs="Arial" w:hint="eastAsia"/>
          <w:bCs/>
          <w:kern w:val="0"/>
          <w:sz w:val="23"/>
          <w:szCs w:val="23"/>
        </w:rPr>
        <w:t>LPR</w:t>
      </w:r>
      <w:r w:rsidR="00515744" w:rsidRPr="00515744">
        <w:rPr>
          <w:rFonts w:ascii="Arial" w:hAnsi="Arial" w:cs="Arial" w:hint="eastAsia"/>
          <w:bCs/>
          <w:kern w:val="0"/>
          <w:sz w:val="23"/>
          <w:szCs w:val="23"/>
        </w:rPr>
        <w:t>）下调及存量房贷利率下调影响，叠加有效信贷需求不足，新发生信贷业务收益率同比下行，导致生息资产收益率下降，是拉低净利息收益率的主要因素。与此同时，受存款利率市场化下调等因素持续显效影响，计息负债成本率同比下降，对净利息收益率产生一定正向效果。</w:t>
      </w:r>
    </w:p>
    <w:p w14:paraId="1C283A14" w14:textId="77777777" w:rsidR="00515744" w:rsidRDefault="00515744">
      <w:pPr>
        <w:autoSpaceDE w:val="0"/>
        <w:autoSpaceDN w:val="0"/>
        <w:adjustRightInd w:val="0"/>
        <w:rPr>
          <w:rFonts w:ascii="Arial" w:hAnsi="Arial" w:cs="Arial"/>
          <w:bCs/>
          <w:kern w:val="0"/>
          <w:sz w:val="23"/>
          <w:szCs w:val="23"/>
        </w:rPr>
      </w:pPr>
    </w:p>
    <w:p w14:paraId="3008EBAA" w14:textId="25AC43A7" w:rsidR="002A07D4" w:rsidRDefault="006B0534">
      <w:pPr>
        <w:autoSpaceDE w:val="0"/>
        <w:autoSpaceDN w:val="0"/>
        <w:adjustRightInd w:val="0"/>
        <w:rPr>
          <w:rFonts w:ascii="Arial" w:hAnsi="Arial" w:cs="Arial"/>
          <w:bCs/>
          <w:kern w:val="0"/>
          <w:sz w:val="23"/>
          <w:szCs w:val="23"/>
        </w:rPr>
      </w:pPr>
      <w:bookmarkStart w:id="14" w:name="_Hlk133264164"/>
      <w:bookmarkStart w:id="15" w:name="_Hlk117844157"/>
      <w:r w:rsidRPr="00624CDF">
        <w:rPr>
          <w:rFonts w:ascii="Arial" w:hAnsi="Arial" w:cs="Arial" w:hint="eastAsia"/>
          <w:b/>
          <w:kern w:val="0"/>
          <w:sz w:val="23"/>
          <w:szCs w:val="23"/>
        </w:rPr>
        <w:t>非利息净收入</w:t>
      </w:r>
      <w:r w:rsidR="00624CDF" w:rsidRPr="00624CDF">
        <w:rPr>
          <w:rFonts w:ascii="Arial" w:hAnsi="Arial" w:cs="Arial" w:hint="eastAsia"/>
          <w:b/>
          <w:kern w:val="0"/>
          <w:sz w:val="23"/>
          <w:szCs w:val="23"/>
        </w:rPr>
        <w:t>占比保持高位</w:t>
      </w:r>
      <w:r w:rsidR="00AE4E16">
        <w:rPr>
          <w:rFonts w:ascii="Arial" w:hAnsi="Arial" w:cs="Arial" w:hint="eastAsia"/>
          <w:b/>
          <w:kern w:val="0"/>
          <w:sz w:val="23"/>
          <w:szCs w:val="23"/>
        </w:rPr>
        <w:t>，</w:t>
      </w:r>
      <w:r w:rsidR="00AE4E16" w:rsidRPr="00AE4E16">
        <w:rPr>
          <w:rFonts w:ascii="Arial" w:hAnsi="Arial" w:cs="Arial" w:hint="eastAsia"/>
          <w:b/>
          <w:kern w:val="0"/>
          <w:sz w:val="23"/>
          <w:szCs w:val="23"/>
        </w:rPr>
        <w:t>财富管理手续费及佣金收入</w:t>
      </w:r>
      <w:proofErr w:type="gramStart"/>
      <w:r w:rsidR="00AE4E16">
        <w:rPr>
          <w:rFonts w:ascii="Arial" w:hAnsi="Arial" w:cs="Arial" w:hint="eastAsia"/>
          <w:b/>
          <w:kern w:val="0"/>
          <w:sz w:val="23"/>
          <w:szCs w:val="23"/>
        </w:rPr>
        <w:t>降幅收</w:t>
      </w:r>
      <w:proofErr w:type="gramEnd"/>
      <w:r w:rsidR="00AE4E16">
        <w:rPr>
          <w:rFonts w:ascii="Arial" w:hAnsi="Arial" w:cs="Arial" w:hint="eastAsia"/>
          <w:b/>
          <w:kern w:val="0"/>
          <w:sz w:val="23"/>
          <w:szCs w:val="23"/>
        </w:rPr>
        <w:t>窄</w:t>
      </w:r>
      <w:r w:rsidR="00146E9F" w:rsidRPr="00624CDF">
        <w:rPr>
          <w:rFonts w:ascii="Arial" w:hAnsi="Arial" w:cs="Arial" w:hint="eastAsia"/>
          <w:b/>
          <w:kern w:val="0"/>
          <w:sz w:val="23"/>
          <w:szCs w:val="23"/>
        </w:rPr>
        <w:t>。</w:t>
      </w:r>
      <w:bookmarkStart w:id="16" w:name="_Hlk149151694"/>
      <w:bookmarkEnd w:id="14"/>
      <w:r w:rsidR="00655D9C" w:rsidRPr="00655D9C">
        <w:rPr>
          <w:rFonts w:ascii="Arial" w:hAnsi="Arial" w:cs="Arial" w:hint="eastAsia"/>
          <w:bCs/>
          <w:kern w:val="0"/>
          <w:sz w:val="23"/>
          <w:szCs w:val="23"/>
        </w:rPr>
        <w:t>2024</w:t>
      </w:r>
      <w:r w:rsidR="00655D9C" w:rsidRPr="00655D9C">
        <w:rPr>
          <w:rFonts w:ascii="Arial" w:hAnsi="Arial" w:cs="Arial" w:hint="eastAsia"/>
          <w:bCs/>
          <w:kern w:val="0"/>
          <w:sz w:val="23"/>
          <w:szCs w:val="23"/>
        </w:rPr>
        <w:t>年</w:t>
      </w:r>
      <w:r w:rsidR="00655D9C" w:rsidRPr="00655D9C">
        <w:rPr>
          <w:rFonts w:ascii="Arial" w:hAnsi="Arial" w:cs="Arial" w:hint="eastAsia"/>
          <w:bCs/>
          <w:kern w:val="0"/>
          <w:sz w:val="23"/>
          <w:szCs w:val="23"/>
        </w:rPr>
        <w:t>1-9</w:t>
      </w:r>
      <w:r w:rsidR="00655D9C" w:rsidRPr="00655D9C">
        <w:rPr>
          <w:rFonts w:ascii="Arial" w:hAnsi="Arial" w:cs="Arial" w:hint="eastAsia"/>
          <w:bCs/>
          <w:kern w:val="0"/>
          <w:sz w:val="23"/>
          <w:szCs w:val="23"/>
        </w:rPr>
        <w:t>月，本集团实现</w:t>
      </w:r>
      <w:bookmarkStart w:id="17" w:name="_Hlk181095115"/>
      <w:r w:rsidR="00655D9C" w:rsidRPr="00655D9C">
        <w:rPr>
          <w:rFonts w:ascii="Arial" w:hAnsi="Arial" w:cs="Arial" w:hint="eastAsia"/>
          <w:bCs/>
          <w:kern w:val="0"/>
          <w:sz w:val="23"/>
          <w:szCs w:val="23"/>
        </w:rPr>
        <w:t>非利息净收入</w:t>
      </w:r>
      <w:r w:rsidR="00655D9C" w:rsidRPr="00655D9C">
        <w:rPr>
          <w:rFonts w:ascii="Arial" w:hAnsi="Arial" w:cs="Arial" w:hint="eastAsia"/>
          <w:bCs/>
          <w:kern w:val="0"/>
          <w:sz w:val="23"/>
          <w:szCs w:val="23"/>
        </w:rPr>
        <w:t>954.11</w:t>
      </w:r>
      <w:r w:rsidR="00655D9C" w:rsidRPr="00655D9C">
        <w:rPr>
          <w:rFonts w:ascii="Arial" w:hAnsi="Arial" w:cs="Arial" w:hint="eastAsia"/>
          <w:bCs/>
          <w:kern w:val="0"/>
          <w:sz w:val="23"/>
          <w:szCs w:val="23"/>
        </w:rPr>
        <w:t>亿元，同比下降</w:t>
      </w:r>
      <w:r w:rsidR="00655D9C" w:rsidRPr="00655D9C">
        <w:rPr>
          <w:rFonts w:ascii="Arial" w:hAnsi="Arial" w:cs="Arial" w:hint="eastAsia"/>
          <w:bCs/>
          <w:kern w:val="0"/>
          <w:sz w:val="23"/>
          <w:szCs w:val="23"/>
        </w:rPr>
        <w:t>2.63%</w:t>
      </w:r>
      <w:r w:rsidR="00655D9C" w:rsidRPr="00655D9C">
        <w:rPr>
          <w:rFonts w:ascii="Arial" w:hAnsi="Arial" w:cs="Arial" w:hint="eastAsia"/>
          <w:bCs/>
          <w:kern w:val="0"/>
          <w:sz w:val="23"/>
          <w:szCs w:val="23"/>
        </w:rPr>
        <w:t>，在营业收入中占比为</w:t>
      </w:r>
      <w:r w:rsidR="00655D9C" w:rsidRPr="00655D9C">
        <w:rPr>
          <w:rFonts w:ascii="Arial" w:hAnsi="Arial" w:cs="Arial" w:hint="eastAsia"/>
          <w:bCs/>
          <w:kern w:val="0"/>
          <w:sz w:val="23"/>
          <w:szCs w:val="23"/>
        </w:rPr>
        <w:t>37.76%</w:t>
      </w:r>
      <w:bookmarkEnd w:id="17"/>
      <w:r w:rsidR="00E74B45">
        <w:rPr>
          <w:rFonts w:ascii="Arial" w:hAnsi="Arial" w:cs="Arial" w:hint="eastAsia"/>
          <w:bCs/>
          <w:kern w:val="0"/>
          <w:sz w:val="23"/>
          <w:szCs w:val="23"/>
        </w:rPr>
        <w:t>（</w:t>
      </w:r>
      <w:r w:rsidR="00E74B45">
        <w:rPr>
          <w:rFonts w:ascii="Arial" w:hAnsi="Arial" w:cs="Arial" w:hint="eastAsia"/>
          <w:bCs/>
          <w:kern w:val="0"/>
          <w:sz w:val="23"/>
          <w:szCs w:val="23"/>
        </w:rPr>
        <w:t>H</w:t>
      </w:r>
      <w:r w:rsidR="00E74B45">
        <w:rPr>
          <w:rFonts w:ascii="Arial" w:hAnsi="Arial" w:cs="Arial" w:hint="eastAsia"/>
          <w:bCs/>
          <w:kern w:val="0"/>
          <w:sz w:val="23"/>
          <w:szCs w:val="23"/>
        </w:rPr>
        <w:t>股：</w:t>
      </w:r>
      <w:r w:rsidR="00E74B45" w:rsidRPr="0095521E">
        <w:rPr>
          <w:rFonts w:ascii="Arial" w:hAnsi="Arial" w:cs="Arial" w:hint="eastAsia"/>
          <w:bCs/>
          <w:kern w:val="0"/>
          <w:sz w:val="23"/>
          <w:szCs w:val="23"/>
        </w:rPr>
        <w:t>非利息净收入</w:t>
      </w:r>
      <w:r w:rsidR="00E74B45" w:rsidRPr="0095521E">
        <w:rPr>
          <w:rFonts w:ascii="Arial" w:hAnsi="Arial" w:cs="Arial" w:hint="eastAsia"/>
          <w:bCs/>
          <w:kern w:val="0"/>
          <w:sz w:val="23"/>
          <w:szCs w:val="23"/>
        </w:rPr>
        <w:t>953.05</w:t>
      </w:r>
      <w:r w:rsidR="00E74B45" w:rsidRPr="0095521E">
        <w:rPr>
          <w:rFonts w:ascii="Arial" w:hAnsi="Arial" w:cs="Arial" w:hint="eastAsia"/>
          <w:bCs/>
          <w:kern w:val="0"/>
          <w:sz w:val="23"/>
          <w:szCs w:val="23"/>
        </w:rPr>
        <w:t>亿元，同比下降</w:t>
      </w:r>
      <w:r w:rsidR="00E74B45" w:rsidRPr="0095521E">
        <w:rPr>
          <w:rFonts w:ascii="Arial" w:hAnsi="Arial" w:cs="Arial" w:hint="eastAsia"/>
          <w:bCs/>
          <w:kern w:val="0"/>
          <w:sz w:val="23"/>
          <w:szCs w:val="23"/>
        </w:rPr>
        <w:t>2.70%</w:t>
      </w:r>
      <w:r w:rsidR="00E74B45" w:rsidRPr="0095521E">
        <w:rPr>
          <w:rFonts w:ascii="Arial" w:hAnsi="Arial" w:cs="Arial" w:hint="eastAsia"/>
          <w:bCs/>
          <w:kern w:val="0"/>
          <w:sz w:val="23"/>
          <w:szCs w:val="23"/>
        </w:rPr>
        <w:t>，在营业净收入中占比为</w:t>
      </w:r>
      <w:r w:rsidR="00E74B45" w:rsidRPr="0095521E">
        <w:rPr>
          <w:rFonts w:ascii="Arial" w:hAnsi="Arial" w:cs="Arial" w:hint="eastAsia"/>
          <w:bCs/>
          <w:kern w:val="0"/>
          <w:sz w:val="23"/>
          <w:szCs w:val="23"/>
        </w:rPr>
        <w:t>37.73%</w:t>
      </w:r>
      <w:r w:rsidR="00E74B45">
        <w:rPr>
          <w:rFonts w:ascii="Arial" w:hAnsi="Arial" w:cs="Arial" w:hint="eastAsia"/>
          <w:bCs/>
          <w:kern w:val="0"/>
          <w:sz w:val="23"/>
          <w:szCs w:val="23"/>
        </w:rPr>
        <w:t>）</w:t>
      </w:r>
      <w:r w:rsidR="00655D9C" w:rsidRPr="00655D9C">
        <w:rPr>
          <w:rFonts w:ascii="Arial" w:hAnsi="Arial" w:cs="Arial" w:hint="eastAsia"/>
          <w:bCs/>
          <w:kern w:val="0"/>
          <w:sz w:val="23"/>
          <w:szCs w:val="23"/>
        </w:rPr>
        <w:t>。非利息净收入同比下降主要是受部分产品降费叠加客户投资意愿偏弱影响，手续费及佣金收入下降。非利息净收入中，净手续费及佣金收入</w:t>
      </w:r>
      <w:r w:rsidR="00655D9C" w:rsidRPr="00655D9C">
        <w:rPr>
          <w:rFonts w:ascii="Arial" w:hAnsi="Arial" w:cs="Arial" w:hint="eastAsia"/>
          <w:bCs/>
          <w:kern w:val="0"/>
          <w:sz w:val="23"/>
          <w:szCs w:val="23"/>
        </w:rPr>
        <w:t>557.02</w:t>
      </w:r>
      <w:r w:rsidR="00655D9C" w:rsidRPr="00655D9C">
        <w:rPr>
          <w:rFonts w:ascii="Arial" w:hAnsi="Arial" w:cs="Arial" w:hint="eastAsia"/>
          <w:bCs/>
          <w:kern w:val="0"/>
          <w:sz w:val="23"/>
          <w:szCs w:val="23"/>
        </w:rPr>
        <w:t>亿元，同比下降</w:t>
      </w:r>
      <w:r w:rsidR="00655D9C" w:rsidRPr="00655D9C">
        <w:rPr>
          <w:rFonts w:ascii="Arial" w:hAnsi="Arial" w:cs="Arial" w:hint="eastAsia"/>
          <w:bCs/>
          <w:kern w:val="0"/>
          <w:sz w:val="23"/>
          <w:szCs w:val="23"/>
        </w:rPr>
        <w:t>16.90%</w:t>
      </w:r>
      <w:r w:rsidR="00641B26" w:rsidRPr="00641B26">
        <w:rPr>
          <w:rFonts w:ascii="Arial" w:hAnsi="Arial" w:cs="Arial" w:hint="eastAsia"/>
          <w:bCs/>
          <w:kern w:val="0"/>
          <w:sz w:val="23"/>
          <w:szCs w:val="23"/>
        </w:rPr>
        <w:t>，降幅较上半年收窄</w:t>
      </w:r>
      <w:r w:rsidR="00641B26" w:rsidRPr="00641B26">
        <w:rPr>
          <w:rFonts w:ascii="Arial" w:hAnsi="Arial" w:cs="Arial" w:hint="eastAsia"/>
          <w:bCs/>
          <w:kern w:val="0"/>
          <w:sz w:val="23"/>
          <w:szCs w:val="23"/>
        </w:rPr>
        <w:t>1.71</w:t>
      </w:r>
      <w:r w:rsidR="00641B26" w:rsidRPr="00641B26">
        <w:rPr>
          <w:rFonts w:ascii="Arial" w:hAnsi="Arial" w:cs="Arial" w:hint="eastAsia"/>
          <w:bCs/>
          <w:kern w:val="0"/>
          <w:sz w:val="23"/>
          <w:szCs w:val="23"/>
        </w:rPr>
        <w:t>个百分点</w:t>
      </w:r>
      <w:r w:rsidR="00655D9C" w:rsidRPr="00655D9C">
        <w:rPr>
          <w:rFonts w:ascii="Arial" w:hAnsi="Arial" w:cs="Arial" w:hint="eastAsia"/>
          <w:bCs/>
          <w:kern w:val="0"/>
          <w:sz w:val="23"/>
          <w:szCs w:val="23"/>
        </w:rPr>
        <w:t>；</w:t>
      </w:r>
      <w:bookmarkStart w:id="18" w:name="_Hlk181095230"/>
      <w:r w:rsidR="00655D9C" w:rsidRPr="00655D9C">
        <w:rPr>
          <w:rFonts w:ascii="Arial" w:hAnsi="Arial" w:cs="Arial" w:hint="eastAsia"/>
          <w:bCs/>
          <w:kern w:val="0"/>
          <w:sz w:val="23"/>
          <w:szCs w:val="23"/>
        </w:rPr>
        <w:t>其他</w:t>
      </w:r>
      <w:r w:rsidR="00E766F4">
        <w:rPr>
          <w:rFonts w:ascii="Arial" w:hAnsi="Arial" w:cs="Arial" w:hint="eastAsia"/>
          <w:bCs/>
          <w:kern w:val="0"/>
          <w:sz w:val="23"/>
          <w:szCs w:val="23"/>
        </w:rPr>
        <w:t>非利息</w:t>
      </w:r>
      <w:r w:rsidR="00655D9C" w:rsidRPr="00655D9C">
        <w:rPr>
          <w:rFonts w:ascii="Arial" w:hAnsi="Arial" w:cs="Arial" w:hint="eastAsia"/>
          <w:bCs/>
          <w:kern w:val="0"/>
          <w:sz w:val="23"/>
          <w:szCs w:val="23"/>
        </w:rPr>
        <w:t>净收入</w:t>
      </w:r>
      <w:r w:rsidR="00655D9C" w:rsidRPr="00655D9C">
        <w:rPr>
          <w:rFonts w:ascii="Arial" w:hAnsi="Arial" w:cs="Arial" w:hint="eastAsia"/>
          <w:bCs/>
          <w:kern w:val="0"/>
          <w:sz w:val="23"/>
          <w:szCs w:val="23"/>
        </w:rPr>
        <w:t>397.09</w:t>
      </w:r>
      <w:r w:rsidR="00655D9C" w:rsidRPr="00655D9C">
        <w:rPr>
          <w:rFonts w:ascii="Arial" w:hAnsi="Arial" w:cs="Arial" w:hint="eastAsia"/>
          <w:bCs/>
          <w:kern w:val="0"/>
          <w:sz w:val="23"/>
          <w:szCs w:val="23"/>
        </w:rPr>
        <w:t>亿元，同比增长</w:t>
      </w:r>
      <w:r w:rsidR="00655D9C" w:rsidRPr="00655D9C">
        <w:rPr>
          <w:rFonts w:ascii="Arial" w:hAnsi="Arial" w:cs="Arial" w:hint="eastAsia"/>
          <w:bCs/>
          <w:kern w:val="0"/>
          <w:sz w:val="23"/>
          <w:szCs w:val="23"/>
        </w:rPr>
        <w:t>28.23%</w:t>
      </w:r>
      <w:bookmarkEnd w:id="18"/>
      <w:r w:rsidR="00E74B45">
        <w:rPr>
          <w:rFonts w:ascii="Arial" w:hAnsi="Arial" w:cs="Arial" w:hint="eastAsia"/>
          <w:bCs/>
          <w:kern w:val="0"/>
          <w:sz w:val="23"/>
          <w:szCs w:val="23"/>
        </w:rPr>
        <w:t>（</w:t>
      </w:r>
      <w:r w:rsidR="00E74B45">
        <w:rPr>
          <w:rFonts w:ascii="Arial" w:hAnsi="Arial" w:cs="Arial" w:hint="eastAsia"/>
          <w:bCs/>
          <w:kern w:val="0"/>
          <w:sz w:val="23"/>
          <w:szCs w:val="23"/>
        </w:rPr>
        <w:t>H</w:t>
      </w:r>
      <w:r w:rsidR="00E74B45">
        <w:rPr>
          <w:rFonts w:ascii="Arial" w:hAnsi="Arial" w:cs="Arial" w:hint="eastAsia"/>
          <w:bCs/>
          <w:kern w:val="0"/>
          <w:sz w:val="23"/>
          <w:szCs w:val="23"/>
        </w:rPr>
        <w:t>股：</w:t>
      </w:r>
      <w:r w:rsidR="00E74B45" w:rsidRPr="0095521E">
        <w:rPr>
          <w:rFonts w:ascii="Arial" w:hAnsi="Arial" w:cs="Arial" w:hint="eastAsia"/>
          <w:bCs/>
          <w:kern w:val="0"/>
          <w:sz w:val="23"/>
          <w:szCs w:val="23"/>
        </w:rPr>
        <w:t>其他非利息净收入</w:t>
      </w:r>
      <w:r w:rsidR="00E74B45" w:rsidRPr="0095521E">
        <w:rPr>
          <w:rFonts w:ascii="Arial" w:hAnsi="Arial" w:cs="Arial" w:hint="eastAsia"/>
          <w:bCs/>
          <w:kern w:val="0"/>
          <w:sz w:val="23"/>
          <w:szCs w:val="23"/>
        </w:rPr>
        <w:t>396.03</w:t>
      </w:r>
      <w:r w:rsidR="00E74B45" w:rsidRPr="0095521E">
        <w:rPr>
          <w:rFonts w:ascii="Arial" w:hAnsi="Arial" w:cs="Arial" w:hint="eastAsia"/>
          <w:bCs/>
          <w:kern w:val="0"/>
          <w:sz w:val="23"/>
          <w:szCs w:val="23"/>
        </w:rPr>
        <w:t>亿元，同比增长</w:t>
      </w:r>
      <w:r w:rsidR="00E74B45" w:rsidRPr="0095521E">
        <w:rPr>
          <w:rFonts w:ascii="Arial" w:hAnsi="Arial" w:cs="Arial" w:hint="eastAsia"/>
          <w:bCs/>
          <w:kern w:val="0"/>
          <w:sz w:val="23"/>
          <w:szCs w:val="23"/>
        </w:rPr>
        <w:t>28.09%</w:t>
      </w:r>
      <w:r w:rsidR="00E74B45">
        <w:rPr>
          <w:rFonts w:ascii="Arial" w:hAnsi="Arial" w:cs="Arial" w:hint="eastAsia"/>
          <w:bCs/>
          <w:kern w:val="0"/>
          <w:sz w:val="23"/>
          <w:szCs w:val="23"/>
        </w:rPr>
        <w:t>）</w:t>
      </w:r>
      <w:r w:rsidR="00655D9C" w:rsidRPr="00655D9C">
        <w:rPr>
          <w:rFonts w:ascii="Arial" w:hAnsi="Arial" w:cs="Arial" w:hint="eastAsia"/>
          <w:bCs/>
          <w:kern w:val="0"/>
          <w:sz w:val="23"/>
          <w:szCs w:val="23"/>
        </w:rPr>
        <w:t>，主要是债券和基金投资的收益增加。</w:t>
      </w:r>
      <w:r w:rsidR="00C34206" w:rsidRPr="00B33858">
        <w:rPr>
          <w:rFonts w:ascii="Arial" w:hAnsi="Arial" w:cs="Arial" w:hint="eastAsia"/>
          <w:bCs/>
          <w:kern w:val="0"/>
          <w:sz w:val="23"/>
          <w:szCs w:val="23"/>
        </w:rPr>
        <w:t>本集团净手续费及佣金收入中，</w:t>
      </w:r>
      <w:r w:rsidR="00C34206" w:rsidRPr="00C34206">
        <w:rPr>
          <w:rFonts w:ascii="Arial" w:hAnsi="Arial" w:cs="Arial" w:hint="eastAsia"/>
          <w:bCs/>
          <w:kern w:val="0"/>
          <w:sz w:val="23"/>
          <w:szCs w:val="23"/>
        </w:rPr>
        <w:t>从重点项目来看：</w:t>
      </w:r>
      <w:bookmarkEnd w:id="16"/>
      <w:r w:rsidR="00655D9C" w:rsidRPr="00655D9C">
        <w:rPr>
          <w:rFonts w:ascii="Arial" w:hAnsi="Arial" w:cs="Arial" w:hint="eastAsia"/>
          <w:bCs/>
          <w:kern w:val="0"/>
          <w:sz w:val="23"/>
          <w:szCs w:val="23"/>
        </w:rPr>
        <w:t>财富管理手续费及佣金收入</w:t>
      </w:r>
      <w:r w:rsidR="00655D9C" w:rsidRPr="00655D9C">
        <w:rPr>
          <w:rFonts w:ascii="Arial" w:hAnsi="Arial" w:cs="Arial" w:hint="eastAsia"/>
          <w:bCs/>
          <w:kern w:val="0"/>
          <w:sz w:val="23"/>
          <w:szCs w:val="23"/>
        </w:rPr>
        <w:t>174.05</w:t>
      </w:r>
      <w:r w:rsidR="00655D9C" w:rsidRPr="00655D9C">
        <w:rPr>
          <w:rFonts w:ascii="Arial" w:hAnsi="Arial" w:cs="Arial" w:hint="eastAsia"/>
          <w:bCs/>
          <w:kern w:val="0"/>
          <w:sz w:val="23"/>
          <w:szCs w:val="23"/>
        </w:rPr>
        <w:t>亿元，同比下降</w:t>
      </w:r>
      <w:r w:rsidR="00655D9C" w:rsidRPr="00655D9C">
        <w:rPr>
          <w:rFonts w:ascii="Arial" w:hAnsi="Arial" w:cs="Arial" w:hint="eastAsia"/>
          <w:bCs/>
          <w:kern w:val="0"/>
          <w:sz w:val="23"/>
          <w:szCs w:val="23"/>
        </w:rPr>
        <w:t>27.63%</w:t>
      </w:r>
      <w:r w:rsidR="00641B26" w:rsidRPr="00641B26">
        <w:rPr>
          <w:rFonts w:ascii="Arial" w:hAnsi="Arial" w:cs="Arial" w:hint="eastAsia"/>
          <w:bCs/>
          <w:kern w:val="0"/>
          <w:sz w:val="23"/>
          <w:szCs w:val="23"/>
        </w:rPr>
        <w:t>，降幅较上半年收窄</w:t>
      </w:r>
      <w:r w:rsidR="00641B26" w:rsidRPr="00641B26">
        <w:rPr>
          <w:rFonts w:ascii="Arial" w:hAnsi="Arial" w:cs="Arial" w:hint="eastAsia"/>
          <w:bCs/>
          <w:kern w:val="0"/>
          <w:sz w:val="23"/>
          <w:szCs w:val="23"/>
        </w:rPr>
        <w:t>4.88</w:t>
      </w:r>
      <w:r w:rsidR="00641B26" w:rsidRPr="00641B26">
        <w:rPr>
          <w:rFonts w:ascii="Arial" w:hAnsi="Arial" w:cs="Arial" w:hint="eastAsia"/>
          <w:bCs/>
          <w:kern w:val="0"/>
          <w:sz w:val="23"/>
          <w:szCs w:val="23"/>
        </w:rPr>
        <w:t>个百分点</w:t>
      </w:r>
      <w:r w:rsidR="00C34206" w:rsidRPr="00C34206">
        <w:rPr>
          <w:rFonts w:ascii="Arial" w:hAnsi="Arial" w:cs="Arial" w:hint="eastAsia"/>
          <w:bCs/>
          <w:kern w:val="0"/>
          <w:sz w:val="23"/>
          <w:szCs w:val="23"/>
        </w:rPr>
        <w:t>；</w:t>
      </w:r>
      <w:r w:rsidR="00655D9C" w:rsidRPr="00655D9C">
        <w:rPr>
          <w:rFonts w:ascii="Arial" w:hAnsi="Arial" w:cs="Arial" w:hint="eastAsia"/>
          <w:bCs/>
          <w:kern w:val="0"/>
          <w:sz w:val="23"/>
          <w:szCs w:val="23"/>
        </w:rPr>
        <w:t>资产管理手续费及佣金收入</w:t>
      </w:r>
      <w:r w:rsidR="00655D9C" w:rsidRPr="00655D9C">
        <w:rPr>
          <w:rFonts w:ascii="Arial" w:hAnsi="Arial" w:cs="Arial" w:hint="eastAsia"/>
          <w:bCs/>
          <w:kern w:val="0"/>
          <w:sz w:val="23"/>
          <w:szCs w:val="23"/>
        </w:rPr>
        <w:t>81.40</w:t>
      </w:r>
      <w:r w:rsidR="00655D9C" w:rsidRPr="00655D9C">
        <w:rPr>
          <w:rFonts w:ascii="Arial" w:hAnsi="Arial" w:cs="Arial" w:hint="eastAsia"/>
          <w:bCs/>
          <w:kern w:val="0"/>
          <w:sz w:val="23"/>
          <w:szCs w:val="23"/>
        </w:rPr>
        <w:t>亿元</w:t>
      </w:r>
      <w:r w:rsidR="00CE2374" w:rsidRPr="00D875BC">
        <w:rPr>
          <w:rStyle w:val="af"/>
          <w:rFonts w:ascii="Arial" w:hAnsi="Arial" w:cs="Arial"/>
          <w:bCs/>
          <w:kern w:val="0"/>
          <w:sz w:val="23"/>
          <w:szCs w:val="23"/>
        </w:rPr>
        <w:footnoteReference w:id="1"/>
      </w:r>
      <w:r w:rsidR="00A51424" w:rsidRPr="00D875BC">
        <w:rPr>
          <w:rFonts w:ascii="Arial" w:hAnsi="Arial" w:cs="Arial" w:hint="eastAsia"/>
          <w:bCs/>
          <w:kern w:val="0"/>
          <w:sz w:val="23"/>
          <w:szCs w:val="23"/>
        </w:rPr>
        <w:t>，</w:t>
      </w:r>
      <w:bookmarkEnd w:id="15"/>
      <w:r w:rsidR="00655D9C" w:rsidRPr="00655D9C">
        <w:rPr>
          <w:rFonts w:ascii="Arial" w:hAnsi="Arial" w:cs="Arial" w:hint="eastAsia"/>
          <w:bCs/>
          <w:kern w:val="0"/>
          <w:sz w:val="23"/>
          <w:szCs w:val="23"/>
        </w:rPr>
        <w:t>同比下降</w:t>
      </w:r>
      <w:r w:rsidR="00655D9C" w:rsidRPr="00655D9C">
        <w:rPr>
          <w:rFonts w:ascii="Arial" w:hAnsi="Arial" w:cs="Arial" w:hint="eastAsia"/>
          <w:bCs/>
          <w:kern w:val="0"/>
          <w:sz w:val="23"/>
          <w:szCs w:val="23"/>
        </w:rPr>
        <w:t>6.16%</w:t>
      </w:r>
      <w:r w:rsidR="00655D9C" w:rsidRPr="00655D9C">
        <w:rPr>
          <w:rFonts w:ascii="Arial" w:hAnsi="Arial" w:cs="Arial" w:hint="eastAsia"/>
          <w:bCs/>
          <w:kern w:val="0"/>
          <w:sz w:val="23"/>
          <w:szCs w:val="23"/>
        </w:rPr>
        <w:t>，主要是子公司招银理财和招商基金管理费收入减少。托管业务佣金收入</w:t>
      </w:r>
      <w:r w:rsidR="00655D9C" w:rsidRPr="00655D9C">
        <w:rPr>
          <w:rFonts w:ascii="Arial" w:hAnsi="Arial" w:cs="Arial" w:hint="eastAsia"/>
          <w:bCs/>
          <w:kern w:val="0"/>
          <w:sz w:val="23"/>
          <w:szCs w:val="23"/>
        </w:rPr>
        <w:t>36.91</w:t>
      </w:r>
      <w:r w:rsidR="00655D9C" w:rsidRPr="00655D9C">
        <w:rPr>
          <w:rFonts w:ascii="Arial" w:hAnsi="Arial" w:cs="Arial" w:hint="eastAsia"/>
          <w:bCs/>
          <w:kern w:val="0"/>
          <w:sz w:val="23"/>
          <w:szCs w:val="23"/>
        </w:rPr>
        <w:t>亿元，同比下降</w:t>
      </w:r>
      <w:r w:rsidR="00655D9C" w:rsidRPr="00655D9C">
        <w:rPr>
          <w:rFonts w:ascii="Arial" w:hAnsi="Arial" w:cs="Arial" w:hint="eastAsia"/>
          <w:bCs/>
          <w:kern w:val="0"/>
          <w:sz w:val="23"/>
          <w:szCs w:val="23"/>
        </w:rPr>
        <w:t>10.67%</w:t>
      </w:r>
      <w:r w:rsidR="00655D9C" w:rsidRPr="00655D9C">
        <w:rPr>
          <w:rFonts w:ascii="Arial" w:hAnsi="Arial" w:cs="Arial" w:hint="eastAsia"/>
          <w:bCs/>
          <w:kern w:val="0"/>
          <w:sz w:val="23"/>
          <w:szCs w:val="23"/>
        </w:rPr>
        <w:t>，主要是受权益类基金托管规模及费率下降影响。银行卡手续费收入</w:t>
      </w:r>
      <w:r w:rsidR="00655D9C" w:rsidRPr="00655D9C">
        <w:rPr>
          <w:rFonts w:ascii="Arial" w:hAnsi="Arial" w:cs="Arial" w:hint="eastAsia"/>
          <w:bCs/>
          <w:kern w:val="0"/>
          <w:sz w:val="23"/>
          <w:szCs w:val="23"/>
        </w:rPr>
        <w:t>126.92</w:t>
      </w:r>
      <w:r w:rsidR="00655D9C" w:rsidRPr="00655D9C">
        <w:rPr>
          <w:rFonts w:ascii="Arial" w:hAnsi="Arial" w:cs="Arial" w:hint="eastAsia"/>
          <w:bCs/>
          <w:kern w:val="0"/>
          <w:sz w:val="23"/>
          <w:szCs w:val="23"/>
        </w:rPr>
        <w:t>亿元，同比下降</w:t>
      </w:r>
      <w:r w:rsidR="00655D9C" w:rsidRPr="00655D9C">
        <w:rPr>
          <w:rFonts w:ascii="Arial" w:hAnsi="Arial" w:cs="Arial" w:hint="eastAsia"/>
          <w:bCs/>
          <w:kern w:val="0"/>
          <w:sz w:val="23"/>
          <w:szCs w:val="23"/>
        </w:rPr>
        <w:t>12.78%</w:t>
      </w:r>
      <w:r w:rsidR="00655D9C" w:rsidRPr="00655D9C">
        <w:rPr>
          <w:rFonts w:ascii="Arial" w:hAnsi="Arial" w:cs="Arial" w:hint="eastAsia"/>
          <w:bCs/>
          <w:kern w:val="0"/>
          <w:sz w:val="23"/>
          <w:szCs w:val="23"/>
        </w:rPr>
        <w:t>，主要是信用卡线下交易手续费下降。结算与清算手续费收入</w:t>
      </w:r>
      <w:r w:rsidR="00655D9C" w:rsidRPr="00655D9C">
        <w:rPr>
          <w:rFonts w:ascii="Arial" w:hAnsi="Arial" w:cs="Arial" w:hint="eastAsia"/>
          <w:bCs/>
          <w:kern w:val="0"/>
          <w:sz w:val="23"/>
          <w:szCs w:val="23"/>
        </w:rPr>
        <w:t>116.41</w:t>
      </w:r>
      <w:r w:rsidR="00655D9C" w:rsidRPr="00655D9C">
        <w:rPr>
          <w:rFonts w:ascii="Arial" w:hAnsi="Arial" w:cs="Arial" w:hint="eastAsia"/>
          <w:bCs/>
          <w:kern w:val="0"/>
          <w:sz w:val="23"/>
          <w:szCs w:val="23"/>
        </w:rPr>
        <w:t>亿元，同比下降</w:t>
      </w:r>
      <w:r w:rsidR="00655D9C" w:rsidRPr="00655D9C">
        <w:rPr>
          <w:rFonts w:ascii="Arial" w:hAnsi="Arial" w:cs="Arial" w:hint="eastAsia"/>
          <w:bCs/>
          <w:kern w:val="0"/>
          <w:sz w:val="23"/>
          <w:szCs w:val="23"/>
        </w:rPr>
        <w:t>0.92%</w:t>
      </w:r>
      <w:r w:rsidR="00655D9C" w:rsidRPr="00655D9C">
        <w:rPr>
          <w:rFonts w:ascii="Arial" w:hAnsi="Arial" w:cs="Arial" w:hint="eastAsia"/>
          <w:bCs/>
          <w:kern w:val="0"/>
          <w:sz w:val="23"/>
          <w:szCs w:val="23"/>
        </w:rPr>
        <w:t>。</w:t>
      </w:r>
    </w:p>
    <w:p w14:paraId="7975F1A5" w14:textId="77777777" w:rsidR="00D67359" w:rsidRDefault="00D67359">
      <w:pPr>
        <w:autoSpaceDE w:val="0"/>
        <w:autoSpaceDN w:val="0"/>
        <w:adjustRightInd w:val="0"/>
        <w:rPr>
          <w:rFonts w:ascii="Arial" w:hAnsi="Arial" w:cs="Arial"/>
          <w:bCs/>
          <w:kern w:val="0"/>
          <w:sz w:val="23"/>
          <w:szCs w:val="23"/>
        </w:rPr>
      </w:pPr>
    </w:p>
    <w:p w14:paraId="7981FF60" w14:textId="77777777" w:rsidR="00655D9C" w:rsidRDefault="005572EF" w:rsidP="00655D9C">
      <w:pPr>
        <w:autoSpaceDE w:val="0"/>
        <w:autoSpaceDN w:val="0"/>
        <w:adjustRightInd w:val="0"/>
        <w:rPr>
          <w:rFonts w:ascii="Arial" w:hAnsi="Arial" w:cs="Arial"/>
          <w:bCs/>
          <w:kern w:val="0"/>
          <w:sz w:val="23"/>
          <w:szCs w:val="23"/>
        </w:rPr>
      </w:pPr>
      <w:bookmarkStart w:id="19" w:name="_Hlk133264182"/>
      <w:r w:rsidRPr="00624CDF">
        <w:rPr>
          <w:rFonts w:ascii="Arial" w:hAnsi="Arial" w:cs="Arial" w:hint="eastAsia"/>
          <w:b/>
          <w:kern w:val="0"/>
          <w:sz w:val="23"/>
          <w:szCs w:val="23"/>
        </w:rPr>
        <w:t>进一步加强</w:t>
      </w:r>
      <w:proofErr w:type="gramStart"/>
      <w:r w:rsidR="00FF3C5C" w:rsidRPr="00624CDF">
        <w:rPr>
          <w:rFonts w:ascii="Arial" w:hAnsi="Arial" w:cs="Arial" w:hint="eastAsia"/>
          <w:b/>
          <w:kern w:val="0"/>
          <w:sz w:val="23"/>
          <w:szCs w:val="23"/>
        </w:rPr>
        <w:t>涉房业务</w:t>
      </w:r>
      <w:proofErr w:type="gramEnd"/>
      <w:r w:rsidR="00FF3C5C" w:rsidRPr="00624CDF">
        <w:rPr>
          <w:rFonts w:ascii="Arial" w:hAnsi="Arial" w:cs="Arial" w:hint="eastAsia"/>
          <w:b/>
          <w:kern w:val="0"/>
          <w:sz w:val="23"/>
          <w:szCs w:val="23"/>
        </w:rPr>
        <w:t>风险</w:t>
      </w:r>
      <w:r w:rsidRPr="00624CDF">
        <w:rPr>
          <w:rFonts w:ascii="Arial" w:hAnsi="Arial" w:cs="Arial" w:hint="eastAsia"/>
          <w:b/>
          <w:kern w:val="0"/>
          <w:sz w:val="23"/>
          <w:szCs w:val="23"/>
        </w:rPr>
        <w:t>管控</w:t>
      </w:r>
      <w:r w:rsidR="00D40560" w:rsidRPr="00624CDF">
        <w:rPr>
          <w:rFonts w:ascii="Arial" w:hAnsi="Arial" w:cs="Arial" w:hint="eastAsia"/>
          <w:b/>
          <w:kern w:val="0"/>
          <w:sz w:val="23"/>
          <w:szCs w:val="23"/>
        </w:rPr>
        <w:t>，</w:t>
      </w:r>
      <w:r w:rsidR="00A9171A" w:rsidRPr="00624CDF">
        <w:rPr>
          <w:rFonts w:ascii="Arial" w:hAnsi="Arial" w:cs="Arial" w:hint="eastAsia"/>
          <w:b/>
          <w:kern w:val="0"/>
          <w:sz w:val="23"/>
          <w:szCs w:val="23"/>
        </w:rPr>
        <w:t>房地产资产质量总体稳定</w:t>
      </w:r>
      <w:r w:rsidR="00FF3C5C" w:rsidRPr="00624CDF">
        <w:rPr>
          <w:rFonts w:ascii="Arial" w:hAnsi="Arial" w:cs="Arial" w:hint="eastAsia"/>
          <w:b/>
          <w:kern w:val="0"/>
          <w:sz w:val="23"/>
          <w:szCs w:val="23"/>
        </w:rPr>
        <w:t>。</w:t>
      </w:r>
      <w:bookmarkEnd w:id="19"/>
      <w:r w:rsidR="00655D9C" w:rsidRPr="00655D9C">
        <w:rPr>
          <w:rFonts w:ascii="Arial" w:hAnsi="Arial" w:cs="Arial" w:hint="eastAsia"/>
          <w:bCs/>
          <w:kern w:val="0"/>
          <w:sz w:val="23"/>
          <w:szCs w:val="23"/>
        </w:rPr>
        <w:t>2024</w:t>
      </w:r>
      <w:r w:rsidR="00655D9C" w:rsidRPr="00655D9C">
        <w:rPr>
          <w:rFonts w:ascii="Arial" w:hAnsi="Arial" w:cs="Arial" w:hint="eastAsia"/>
          <w:bCs/>
          <w:kern w:val="0"/>
          <w:sz w:val="23"/>
          <w:szCs w:val="23"/>
        </w:rPr>
        <w:t>年</w:t>
      </w:r>
      <w:r w:rsidR="00655D9C" w:rsidRPr="00655D9C">
        <w:rPr>
          <w:rFonts w:ascii="Arial" w:hAnsi="Arial" w:cs="Arial" w:hint="eastAsia"/>
          <w:bCs/>
          <w:kern w:val="0"/>
          <w:sz w:val="23"/>
          <w:szCs w:val="23"/>
        </w:rPr>
        <w:t>1-9</w:t>
      </w:r>
      <w:r w:rsidR="00655D9C" w:rsidRPr="00655D9C">
        <w:rPr>
          <w:rFonts w:ascii="Arial" w:hAnsi="Arial" w:cs="Arial" w:hint="eastAsia"/>
          <w:bCs/>
          <w:kern w:val="0"/>
          <w:sz w:val="23"/>
          <w:szCs w:val="23"/>
        </w:rPr>
        <w:t>月，本公司围绕国家政策导向和监管要求，</w:t>
      </w:r>
      <w:proofErr w:type="gramStart"/>
      <w:r w:rsidR="00655D9C" w:rsidRPr="00655D9C">
        <w:rPr>
          <w:rFonts w:ascii="Arial" w:hAnsi="Arial" w:cs="Arial" w:hint="eastAsia"/>
          <w:bCs/>
          <w:kern w:val="0"/>
          <w:sz w:val="23"/>
          <w:szCs w:val="23"/>
        </w:rPr>
        <w:t>坚持“</w:t>
      </w:r>
      <w:proofErr w:type="gramEnd"/>
      <w:r w:rsidR="00655D9C" w:rsidRPr="00655D9C">
        <w:rPr>
          <w:rFonts w:ascii="Arial" w:hAnsi="Arial" w:cs="Arial" w:hint="eastAsia"/>
          <w:bCs/>
          <w:kern w:val="0"/>
          <w:sz w:val="23"/>
          <w:szCs w:val="23"/>
        </w:rPr>
        <w:t>明确定位、优选区域、聚焦项目、严肃管理”的总体策略，在风险可控的前提下，深入挖掘优质区域市场、优选客户，并聚焦优质项目开展业务。同时，本公司持续加大对城市房地产融资协调机制确定的“白名单”项目的支持力度，按照市场化、法治化原则对符合标准的项目提供融资，促进房地产市场平稳健康发展。</w:t>
      </w:r>
    </w:p>
    <w:p w14:paraId="38C739F9" w14:textId="77777777" w:rsidR="00655D9C" w:rsidRPr="00655D9C" w:rsidRDefault="00655D9C" w:rsidP="00655D9C">
      <w:pPr>
        <w:autoSpaceDE w:val="0"/>
        <w:autoSpaceDN w:val="0"/>
        <w:adjustRightInd w:val="0"/>
        <w:rPr>
          <w:rFonts w:ascii="Arial" w:hAnsi="Arial" w:cs="Arial"/>
          <w:bCs/>
          <w:kern w:val="0"/>
          <w:sz w:val="23"/>
          <w:szCs w:val="23"/>
        </w:rPr>
      </w:pPr>
    </w:p>
    <w:p w14:paraId="0B2F0029" w14:textId="77777777" w:rsidR="00655D9C" w:rsidRDefault="00655D9C" w:rsidP="00655D9C">
      <w:pPr>
        <w:autoSpaceDE w:val="0"/>
        <w:autoSpaceDN w:val="0"/>
        <w:adjustRightInd w:val="0"/>
        <w:rPr>
          <w:rFonts w:ascii="Arial" w:hAnsi="Arial" w:cs="Arial"/>
          <w:bCs/>
          <w:kern w:val="0"/>
          <w:sz w:val="23"/>
          <w:szCs w:val="23"/>
        </w:rPr>
      </w:pPr>
      <w:r w:rsidRPr="00655D9C">
        <w:rPr>
          <w:rFonts w:ascii="Arial" w:hAnsi="Arial" w:cs="Arial" w:hint="eastAsia"/>
          <w:bCs/>
          <w:kern w:val="0"/>
          <w:sz w:val="23"/>
          <w:szCs w:val="23"/>
        </w:rPr>
        <w:t>截至报告期末，本集团房地产相关的实有及或有信贷、自营债券投资、自营非标投资等承担信用风险的业务余额合计</w:t>
      </w:r>
      <w:r w:rsidRPr="00655D9C">
        <w:rPr>
          <w:rFonts w:ascii="Arial" w:hAnsi="Arial" w:cs="Arial" w:hint="eastAsia"/>
          <w:bCs/>
          <w:kern w:val="0"/>
          <w:sz w:val="23"/>
          <w:szCs w:val="23"/>
        </w:rPr>
        <w:t>3,878.65</w:t>
      </w:r>
      <w:r w:rsidRPr="00655D9C">
        <w:rPr>
          <w:rFonts w:ascii="Arial" w:hAnsi="Arial" w:cs="Arial" w:hint="eastAsia"/>
          <w:bCs/>
          <w:kern w:val="0"/>
          <w:sz w:val="23"/>
          <w:szCs w:val="23"/>
        </w:rPr>
        <w:t>亿元，较上年末下降</w:t>
      </w:r>
      <w:r w:rsidRPr="00655D9C">
        <w:rPr>
          <w:rFonts w:ascii="Arial" w:hAnsi="Arial" w:cs="Arial" w:hint="eastAsia"/>
          <w:bCs/>
          <w:kern w:val="0"/>
          <w:sz w:val="23"/>
          <w:szCs w:val="23"/>
        </w:rPr>
        <w:t>2.78%</w:t>
      </w:r>
      <w:r w:rsidRPr="00655D9C">
        <w:rPr>
          <w:rFonts w:ascii="Arial" w:hAnsi="Arial" w:cs="Arial" w:hint="eastAsia"/>
          <w:bCs/>
          <w:kern w:val="0"/>
          <w:sz w:val="23"/>
          <w:szCs w:val="23"/>
        </w:rPr>
        <w:t>；本集团理财资金出资、委托贷款、</w:t>
      </w:r>
      <w:r w:rsidRPr="00655D9C">
        <w:rPr>
          <w:rFonts w:ascii="Arial" w:hAnsi="Arial" w:cs="Arial" w:hint="eastAsia"/>
          <w:bCs/>
          <w:kern w:val="0"/>
          <w:sz w:val="23"/>
          <w:szCs w:val="23"/>
        </w:rPr>
        <w:lastRenderedPageBreak/>
        <w:t>合作机构主动管理的代销信托、主承销债务融资工具等不承担信用风险的业务余额合计</w:t>
      </w:r>
      <w:r w:rsidRPr="00655D9C">
        <w:rPr>
          <w:rFonts w:ascii="Arial" w:hAnsi="Arial" w:cs="Arial" w:hint="eastAsia"/>
          <w:bCs/>
          <w:kern w:val="0"/>
          <w:sz w:val="23"/>
          <w:szCs w:val="23"/>
        </w:rPr>
        <w:t>2,338.63</w:t>
      </w:r>
      <w:r w:rsidRPr="00655D9C">
        <w:rPr>
          <w:rFonts w:ascii="Arial" w:hAnsi="Arial" w:cs="Arial" w:hint="eastAsia"/>
          <w:bCs/>
          <w:kern w:val="0"/>
          <w:sz w:val="23"/>
          <w:szCs w:val="23"/>
        </w:rPr>
        <w:t>亿元，较上年末下降</w:t>
      </w:r>
      <w:r w:rsidRPr="00655D9C">
        <w:rPr>
          <w:rFonts w:ascii="Arial" w:hAnsi="Arial" w:cs="Arial" w:hint="eastAsia"/>
          <w:bCs/>
          <w:kern w:val="0"/>
          <w:sz w:val="23"/>
          <w:szCs w:val="23"/>
        </w:rPr>
        <w:t>6.25%</w:t>
      </w:r>
      <w:r w:rsidRPr="00655D9C">
        <w:rPr>
          <w:rFonts w:ascii="Arial" w:hAnsi="Arial" w:cs="Arial" w:hint="eastAsia"/>
          <w:bCs/>
          <w:kern w:val="0"/>
          <w:sz w:val="23"/>
          <w:szCs w:val="23"/>
        </w:rPr>
        <w:t>。截至报告期末，本公司房地产业贷款余额</w:t>
      </w:r>
      <w:r w:rsidRPr="00655D9C">
        <w:rPr>
          <w:rFonts w:ascii="Arial" w:hAnsi="Arial" w:cs="Arial" w:hint="eastAsia"/>
          <w:bCs/>
          <w:kern w:val="0"/>
          <w:sz w:val="23"/>
          <w:szCs w:val="23"/>
        </w:rPr>
        <w:t>2,941.81</w:t>
      </w:r>
      <w:r w:rsidRPr="00655D9C">
        <w:rPr>
          <w:rFonts w:ascii="Arial" w:hAnsi="Arial" w:cs="Arial" w:hint="eastAsia"/>
          <w:bCs/>
          <w:kern w:val="0"/>
          <w:sz w:val="23"/>
          <w:szCs w:val="23"/>
        </w:rPr>
        <w:t>亿元，较上年末增加</w:t>
      </w:r>
      <w:r w:rsidRPr="00655D9C">
        <w:rPr>
          <w:rFonts w:ascii="Arial" w:hAnsi="Arial" w:cs="Arial" w:hint="eastAsia"/>
          <w:bCs/>
          <w:kern w:val="0"/>
          <w:sz w:val="23"/>
          <w:szCs w:val="23"/>
        </w:rPr>
        <w:t>34.39</w:t>
      </w:r>
      <w:r w:rsidRPr="00655D9C">
        <w:rPr>
          <w:rFonts w:ascii="Arial" w:hAnsi="Arial" w:cs="Arial" w:hint="eastAsia"/>
          <w:bCs/>
          <w:kern w:val="0"/>
          <w:sz w:val="23"/>
          <w:szCs w:val="23"/>
        </w:rPr>
        <w:t>亿元，占本公司贷款和垫款总额的</w:t>
      </w:r>
      <w:r w:rsidRPr="00655D9C">
        <w:rPr>
          <w:rFonts w:ascii="Arial" w:hAnsi="Arial" w:cs="Arial" w:hint="eastAsia"/>
          <w:bCs/>
          <w:kern w:val="0"/>
          <w:sz w:val="23"/>
          <w:szCs w:val="23"/>
        </w:rPr>
        <w:t>4.58%</w:t>
      </w:r>
      <w:r w:rsidRPr="00655D9C">
        <w:rPr>
          <w:rFonts w:ascii="Arial" w:hAnsi="Arial" w:cs="Arial" w:hint="eastAsia"/>
          <w:bCs/>
          <w:kern w:val="0"/>
          <w:sz w:val="23"/>
          <w:szCs w:val="23"/>
        </w:rPr>
        <w:t>，较上年末下降</w:t>
      </w:r>
      <w:r w:rsidRPr="00655D9C">
        <w:rPr>
          <w:rFonts w:ascii="Arial" w:hAnsi="Arial" w:cs="Arial" w:hint="eastAsia"/>
          <w:bCs/>
          <w:kern w:val="0"/>
          <w:sz w:val="23"/>
          <w:szCs w:val="23"/>
        </w:rPr>
        <w:t>0.13</w:t>
      </w:r>
      <w:r w:rsidRPr="00655D9C">
        <w:rPr>
          <w:rFonts w:ascii="Arial" w:hAnsi="Arial" w:cs="Arial" w:hint="eastAsia"/>
          <w:bCs/>
          <w:kern w:val="0"/>
          <w:sz w:val="23"/>
          <w:szCs w:val="23"/>
        </w:rPr>
        <w:t>个百分点，其中</w:t>
      </w:r>
      <w:r w:rsidRPr="00655D9C">
        <w:rPr>
          <w:rFonts w:ascii="Arial" w:hAnsi="Arial" w:cs="Arial" w:hint="eastAsia"/>
          <w:bCs/>
          <w:kern w:val="0"/>
          <w:sz w:val="23"/>
          <w:szCs w:val="23"/>
        </w:rPr>
        <w:t>85%</w:t>
      </w:r>
      <w:r w:rsidRPr="00655D9C">
        <w:rPr>
          <w:rFonts w:ascii="Arial" w:hAnsi="Arial" w:cs="Arial" w:hint="eastAsia"/>
          <w:bCs/>
          <w:kern w:val="0"/>
          <w:sz w:val="23"/>
          <w:szCs w:val="23"/>
        </w:rPr>
        <w:t>以上的房地产开发贷款余额分布在一、二线城市城区，区域结构保持良好。截至报告期末，本公司房地产业不良贷款率</w:t>
      </w:r>
      <w:r w:rsidRPr="00655D9C">
        <w:rPr>
          <w:rFonts w:ascii="Arial" w:hAnsi="Arial" w:cs="Arial" w:hint="eastAsia"/>
          <w:bCs/>
          <w:kern w:val="0"/>
          <w:sz w:val="23"/>
          <w:szCs w:val="23"/>
        </w:rPr>
        <w:t>4.80%</w:t>
      </w:r>
      <w:r w:rsidRPr="00655D9C">
        <w:rPr>
          <w:rFonts w:ascii="Arial" w:hAnsi="Arial" w:cs="Arial" w:hint="eastAsia"/>
          <w:bCs/>
          <w:kern w:val="0"/>
          <w:sz w:val="23"/>
          <w:szCs w:val="23"/>
        </w:rPr>
        <w:t>，较上年末下降</w:t>
      </w:r>
      <w:r w:rsidRPr="00655D9C">
        <w:rPr>
          <w:rFonts w:ascii="Arial" w:hAnsi="Arial" w:cs="Arial" w:hint="eastAsia"/>
          <w:bCs/>
          <w:kern w:val="0"/>
          <w:sz w:val="23"/>
          <w:szCs w:val="23"/>
        </w:rPr>
        <w:t>0.21</w:t>
      </w:r>
      <w:r w:rsidRPr="00655D9C">
        <w:rPr>
          <w:rFonts w:ascii="Arial" w:hAnsi="Arial" w:cs="Arial" w:hint="eastAsia"/>
          <w:bCs/>
          <w:kern w:val="0"/>
          <w:sz w:val="23"/>
          <w:szCs w:val="23"/>
        </w:rPr>
        <w:t>个百分点。</w:t>
      </w:r>
    </w:p>
    <w:p w14:paraId="28078CFA" w14:textId="77777777" w:rsidR="00655D9C" w:rsidRPr="00655D9C" w:rsidRDefault="00655D9C" w:rsidP="00655D9C">
      <w:pPr>
        <w:autoSpaceDE w:val="0"/>
        <w:autoSpaceDN w:val="0"/>
        <w:adjustRightInd w:val="0"/>
        <w:rPr>
          <w:rFonts w:ascii="Arial" w:hAnsi="Arial" w:cs="Arial"/>
          <w:bCs/>
          <w:kern w:val="0"/>
          <w:sz w:val="23"/>
          <w:szCs w:val="23"/>
        </w:rPr>
      </w:pPr>
    </w:p>
    <w:p w14:paraId="3D945362" w14:textId="2525E928" w:rsidR="00A51424" w:rsidRDefault="00655D9C" w:rsidP="00655D9C">
      <w:pPr>
        <w:autoSpaceDE w:val="0"/>
        <w:autoSpaceDN w:val="0"/>
        <w:adjustRightInd w:val="0"/>
        <w:rPr>
          <w:rFonts w:ascii="Arial" w:hAnsi="Arial" w:cs="Arial"/>
          <w:bCs/>
          <w:kern w:val="0"/>
          <w:sz w:val="23"/>
          <w:szCs w:val="23"/>
        </w:rPr>
      </w:pPr>
      <w:r w:rsidRPr="00655D9C">
        <w:rPr>
          <w:rFonts w:ascii="Arial" w:hAnsi="Arial" w:cs="Arial" w:hint="eastAsia"/>
          <w:bCs/>
          <w:kern w:val="0"/>
          <w:sz w:val="23"/>
          <w:szCs w:val="23"/>
        </w:rPr>
        <w:t>后续，本公司将全面支持构建房地产发展新模式，充分发挥协调机制作用，满足房地产项目合理融资需求，加大“白名单”项目贷款投放力度。同时，继续合理区分项目子公司风险与集团控股公司风险，持续强化风险扎口管理和投贷后管理，严格执行房地产贷款封闭管理要求，切实做好项目风险防控。按照依法合</w:t>
      </w:r>
      <w:proofErr w:type="gramStart"/>
      <w:r w:rsidRPr="00655D9C">
        <w:rPr>
          <w:rFonts w:ascii="Arial" w:hAnsi="Arial" w:cs="Arial" w:hint="eastAsia"/>
          <w:bCs/>
          <w:kern w:val="0"/>
          <w:sz w:val="23"/>
          <w:szCs w:val="23"/>
        </w:rPr>
        <w:t>规</w:t>
      </w:r>
      <w:proofErr w:type="gramEnd"/>
      <w:r w:rsidRPr="00655D9C">
        <w:rPr>
          <w:rFonts w:ascii="Arial" w:hAnsi="Arial" w:cs="Arial" w:hint="eastAsia"/>
          <w:bCs/>
          <w:kern w:val="0"/>
          <w:sz w:val="23"/>
          <w:szCs w:val="23"/>
        </w:rPr>
        <w:t>、风险可控、商业可持续的原则，推动房地产企业风险化解，保持房地产资产质量总体稳定。</w:t>
      </w:r>
    </w:p>
    <w:p w14:paraId="64B94D8D" w14:textId="77777777" w:rsidR="00655D9C" w:rsidRDefault="00655D9C" w:rsidP="00655D9C">
      <w:pPr>
        <w:autoSpaceDE w:val="0"/>
        <w:autoSpaceDN w:val="0"/>
        <w:adjustRightInd w:val="0"/>
        <w:rPr>
          <w:rFonts w:ascii="Arial" w:hAnsi="Arial" w:cs="Arial"/>
          <w:bCs/>
          <w:kern w:val="0"/>
          <w:sz w:val="23"/>
          <w:szCs w:val="23"/>
        </w:rPr>
      </w:pPr>
    </w:p>
    <w:p w14:paraId="57F0C202" w14:textId="5E2BFDE2" w:rsidR="00E91BE2" w:rsidRDefault="00624CDF" w:rsidP="00E91BE2">
      <w:pPr>
        <w:autoSpaceDE w:val="0"/>
        <w:autoSpaceDN w:val="0"/>
        <w:adjustRightInd w:val="0"/>
        <w:rPr>
          <w:rFonts w:ascii="Arial" w:hAnsi="Arial" w:cs="Arial"/>
          <w:bCs/>
          <w:kern w:val="0"/>
          <w:sz w:val="23"/>
          <w:szCs w:val="23"/>
        </w:rPr>
      </w:pPr>
      <w:bookmarkStart w:id="20" w:name="_Hlk133264213"/>
      <w:r w:rsidRPr="00624CDF">
        <w:rPr>
          <w:rFonts w:ascii="Arial" w:hAnsi="Arial" w:cs="Arial" w:hint="eastAsia"/>
          <w:b/>
          <w:kern w:val="0"/>
          <w:sz w:val="23"/>
          <w:szCs w:val="23"/>
        </w:rPr>
        <w:t>资产质量总体稳定，风险抵补能力强健。</w:t>
      </w:r>
      <w:bookmarkEnd w:id="20"/>
      <w:r w:rsidR="007D2AA5" w:rsidRPr="007D2AA5">
        <w:rPr>
          <w:rFonts w:ascii="Arial" w:hAnsi="Arial" w:cs="Arial" w:hint="eastAsia"/>
          <w:bCs/>
          <w:kern w:val="0"/>
          <w:sz w:val="23"/>
          <w:szCs w:val="23"/>
        </w:rPr>
        <w:t>截至报告期末，本集团不良贷款余额</w:t>
      </w:r>
      <w:r w:rsidR="007D2AA5" w:rsidRPr="007D2AA5">
        <w:rPr>
          <w:rFonts w:ascii="Arial" w:hAnsi="Arial" w:cs="Arial" w:hint="eastAsia"/>
          <w:bCs/>
          <w:kern w:val="0"/>
          <w:sz w:val="23"/>
          <w:szCs w:val="23"/>
        </w:rPr>
        <w:t>635.57</w:t>
      </w:r>
      <w:r w:rsidR="007D2AA5" w:rsidRPr="007D2AA5">
        <w:rPr>
          <w:rFonts w:ascii="Arial" w:hAnsi="Arial" w:cs="Arial" w:hint="eastAsia"/>
          <w:bCs/>
          <w:kern w:val="0"/>
          <w:sz w:val="23"/>
          <w:szCs w:val="23"/>
        </w:rPr>
        <w:t>亿元，较上年末增加</w:t>
      </w:r>
      <w:r w:rsidR="007D2AA5" w:rsidRPr="007D2AA5">
        <w:rPr>
          <w:rFonts w:ascii="Arial" w:hAnsi="Arial" w:cs="Arial" w:hint="eastAsia"/>
          <w:bCs/>
          <w:kern w:val="0"/>
          <w:sz w:val="23"/>
          <w:szCs w:val="23"/>
        </w:rPr>
        <w:t>19.78</w:t>
      </w:r>
      <w:r w:rsidR="007D2AA5" w:rsidRPr="007D2AA5">
        <w:rPr>
          <w:rFonts w:ascii="Arial" w:hAnsi="Arial" w:cs="Arial" w:hint="eastAsia"/>
          <w:bCs/>
          <w:kern w:val="0"/>
          <w:sz w:val="23"/>
          <w:szCs w:val="23"/>
        </w:rPr>
        <w:t>亿元，不良贷款率</w:t>
      </w:r>
      <w:r w:rsidR="007D2AA5" w:rsidRPr="007D2AA5">
        <w:rPr>
          <w:rFonts w:ascii="Arial" w:hAnsi="Arial" w:cs="Arial" w:hint="eastAsia"/>
          <w:bCs/>
          <w:kern w:val="0"/>
          <w:sz w:val="23"/>
          <w:szCs w:val="23"/>
        </w:rPr>
        <w:t>0.94%</w:t>
      </w:r>
      <w:r w:rsidR="007D2AA5" w:rsidRPr="007D2AA5">
        <w:rPr>
          <w:rFonts w:ascii="Arial" w:hAnsi="Arial" w:cs="Arial" w:hint="eastAsia"/>
          <w:bCs/>
          <w:kern w:val="0"/>
          <w:sz w:val="23"/>
          <w:szCs w:val="23"/>
        </w:rPr>
        <w:t>，较上年末下降</w:t>
      </w:r>
      <w:r w:rsidR="007D2AA5" w:rsidRPr="007D2AA5">
        <w:rPr>
          <w:rFonts w:ascii="Arial" w:hAnsi="Arial" w:cs="Arial" w:hint="eastAsia"/>
          <w:bCs/>
          <w:kern w:val="0"/>
          <w:sz w:val="23"/>
          <w:szCs w:val="23"/>
        </w:rPr>
        <w:t>0.01</w:t>
      </w:r>
      <w:r w:rsidR="007D2AA5" w:rsidRPr="007D2AA5">
        <w:rPr>
          <w:rFonts w:ascii="Arial" w:hAnsi="Arial" w:cs="Arial" w:hint="eastAsia"/>
          <w:bCs/>
          <w:kern w:val="0"/>
          <w:sz w:val="23"/>
          <w:szCs w:val="23"/>
        </w:rPr>
        <w:t>个百分点；关注贷款余额</w:t>
      </w:r>
      <w:r w:rsidR="007D2AA5" w:rsidRPr="007D2AA5">
        <w:rPr>
          <w:rFonts w:ascii="Arial" w:hAnsi="Arial" w:cs="Arial" w:hint="eastAsia"/>
          <w:bCs/>
          <w:kern w:val="0"/>
          <w:sz w:val="23"/>
          <w:szCs w:val="23"/>
        </w:rPr>
        <w:t>881.31</w:t>
      </w:r>
      <w:r w:rsidR="007D2AA5" w:rsidRPr="007D2AA5">
        <w:rPr>
          <w:rFonts w:ascii="Arial" w:hAnsi="Arial" w:cs="Arial" w:hint="eastAsia"/>
          <w:bCs/>
          <w:kern w:val="0"/>
          <w:sz w:val="23"/>
          <w:szCs w:val="23"/>
        </w:rPr>
        <w:t>亿元，较上年末增加</w:t>
      </w:r>
      <w:r w:rsidR="007D2AA5" w:rsidRPr="007D2AA5">
        <w:rPr>
          <w:rFonts w:ascii="Arial" w:hAnsi="Arial" w:cs="Arial" w:hint="eastAsia"/>
          <w:bCs/>
          <w:kern w:val="0"/>
          <w:sz w:val="23"/>
          <w:szCs w:val="23"/>
        </w:rPr>
        <w:t>168.03</w:t>
      </w:r>
      <w:r w:rsidR="007D2AA5" w:rsidRPr="007D2AA5">
        <w:rPr>
          <w:rFonts w:ascii="Arial" w:hAnsi="Arial" w:cs="Arial" w:hint="eastAsia"/>
          <w:bCs/>
          <w:kern w:val="0"/>
          <w:sz w:val="23"/>
          <w:szCs w:val="23"/>
        </w:rPr>
        <w:t>亿元，关注贷款率</w:t>
      </w:r>
      <w:r w:rsidR="007D2AA5" w:rsidRPr="007D2AA5">
        <w:rPr>
          <w:rFonts w:ascii="Arial" w:hAnsi="Arial" w:cs="Arial" w:hint="eastAsia"/>
          <w:bCs/>
          <w:kern w:val="0"/>
          <w:sz w:val="23"/>
          <w:szCs w:val="23"/>
        </w:rPr>
        <w:t>1.30%</w:t>
      </w:r>
      <w:r w:rsidR="007D2AA5" w:rsidRPr="007D2AA5">
        <w:rPr>
          <w:rFonts w:ascii="Arial" w:hAnsi="Arial" w:cs="Arial" w:hint="eastAsia"/>
          <w:bCs/>
          <w:kern w:val="0"/>
          <w:sz w:val="23"/>
          <w:szCs w:val="23"/>
        </w:rPr>
        <w:t>，较上年末上升</w:t>
      </w:r>
      <w:r w:rsidR="007D2AA5" w:rsidRPr="007D2AA5">
        <w:rPr>
          <w:rFonts w:ascii="Arial" w:hAnsi="Arial" w:cs="Arial" w:hint="eastAsia"/>
          <w:bCs/>
          <w:kern w:val="0"/>
          <w:sz w:val="23"/>
          <w:szCs w:val="23"/>
        </w:rPr>
        <w:t>0.20</w:t>
      </w:r>
      <w:r w:rsidR="007D2AA5" w:rsidRPr="007D2AA5">
        <w:rPr>
          <w:rFonts w:ascii="Arial" w:hAnsi="Arial" w:cs="Arial" w:hint="eastAsia"/>
          <w:bCs/>
          <w:kern w:val="0"/>
          <w:sz w:val="23"/>
          <w:szCs w:val="23"/>
        </w:rPr>
        <w:t>个百分点；逾期贷款余额</w:t>
      </w:r>
      <w:r w:rsidR="007D2AA5" w:rsidRPr="007D2AA5">
        <w:rPr>
          <w:rFonts w:ascii="Arial" w:hAnsi="Arial" w:cs="Arial" w:hint="eastAsia"/>
          <w:bCs/>
          <w:kern w:val="0"/>
          <w:sz w:val="23"/>
          <w:szCs w:val="23"/>
        </w:rPr>
        <w:t>919.50</w:t>
      </w:r>
      <w:r w:rsidR="007D2AA5" w:rsidRPr="007D2AA5">
        <w:rPr>
          <w:rFonts w:ascii="Arial" w:hAnsi="Arial" w:cs="Arial" w:hint="eastAsia"/>
          <w:bCs/>
          <w:kern w:val="0"/>
          <w:sz w:val="23"/>
          <w:szCs w:val="23"/>
        </w:rPr>
        <w:t>亿元，较上年末增加</w:t>
      </w:r>
      <w:r w:rsidR="007D2AA5" w:rsidRPr="007D2AA5">
        <w:rPr>
          <w:rFonts w:ascii="Arial" w:hAnsi="Arial" w:cs="Arial" w:hint="eastAsia"/>
          <w:bCs/>
          <w:kern w:val="0"/>
          <w:sz w:val="23"/>
          <w:szCs w:val="23"/>
        </w:rPr>
        <w:t>99.67</w:t>
      </w:r>
      <w:r w:rsidR="007D2AA5" w:rsidRPr="007D2AA5">
        <w:rPr>
          <w:rFonts w:ascii="Arial" w:hAnsi="Arial" w:cs="Arial" w:hint="eastAsia"/>
          <w:bCs/>
          <w:kern w:val="0"/>
          <w:sz w:val="23"/>
          <w:szCs w:val="23"/>
        </w:rPr>
        <w:t>亿元，逾期贷款率</w:t>
      </w:r>
      <w:r w:rsidR="007D2AA5" w:rsidRPr="007D2AA5">
        <w:rPr>
          <w:rFonts w:ascii="Arial" w:hAnsi="Arial" w:cs="Arial" w:hint="eastAsia"/>
          <w:bCs/>
          <w:kern w:val="0"/>
          <w:sz w:val="23"/>
          <w:szCs w:val="23"/>
        </w:rPr>
        <w:t>1.36%</w:t>
      </w:r>
      <w:r w:rsidR="007D2AA5" w:rsidRPr="007D2AA5">
        <w:rPr>
          <w:rFonts w:ascii="Arial" w:hAnsi="Arial" w:cs="Arial" w:hint="eastAsia"/>
          <w:bCs/>
          <w:kern w:val="0"/>
          <w:sz w:val="23"/>
          <w:szCs w:val="23"/>
        </w:rPr>
        <w:t>，较上年末上升</w:t>
      </w:r>
      <w:r w:rsidR="007D2AA5" w:rsidRPr="007D2AA5">
        <w:rPr>
          <w:rFonts w:ascii="Arial" w:hAnsi="Arial" w:cs="Arial" w:hint="eastAsia"/>
          <w:bCs/>
          <w:kern w:val="0"/>
          <w:sz w:val="23"/>
          <w:szCs w:val="23"/>
        </w:rPr>
        <w:t>0.10</w:t>
      </w:r>
      <w:r w:rsidR="007D2AA5" w:rsidRPr="007D2AA5">
        <w:rPr>
          <w:rFonts w:ascii="Arial" w:hAnsi="Arial" w:cs="Arial" w:hint="eastAsia"/>
          <w:bCs/>
          <w:kern w:val="0"/>
          <w:sz w:val="23"/>
          <w:szCs w:val="23"/>
        </w:rPr>
        <w:t>个百分点。截至报告期末，本集团不良贷款与逾期</w:t>
      </w:r>
      <w:r w:rsidR="007D2AA5" w:rsidRPr="007D2AA5">
        <w:rPr>
          <w:rFonts w:ascii="Arial" w:hAnsi="Arial" w:cs="Arial" w:hint="eastAsia"/>
          <w:bCs/>
          <w:kern w:val="0"/>
          <w:sz w:val="23"/>
          <w:szCs w:val="23"/>
        </w:rPr>
        <w:t>90</w:t>
      </w:r>
      <w:r w:rsidR="007D2AA5" w:rsidRPr="007D2AA5">
        <w:rPr>
          <w:rFonts w:ascii="Arial" w:hAnsi="Arial" w:cs="Arial" w:hint="eastAsia"/>
          <w:bCs/>
          <w:kern w:val="0"/>
          <w:sz w:val="23"/>
          <w:szCs w:val="23"/>
        </w:rPr>
        <w:t>天以上贷款的比值为</w:t>
      </w:r>
      <w:r w:rsidR="007D2AA5" w:rsidRPr="007D2AA5">
        <w:rPr>
          <w:rFonts w:ascii="Arial" w:hAnsi="Arial" w:cs="Arial" w:hint="eastAsia"/>
          <w:bCs/>
          <w:kern w:val="0"/>
          <w:sz w:val="23"/>
          <w:szCs w:val="23"/>
        </w:rPr>
        <w:t>1.26</w:t>
      </w:r>
      <w:r w:rsidR="007D2AA5" w:rsidRPr="007D2AA5">
        <w:rPr>
          <w:rFonts w:ascii="Arial" w:hAnsi="Arial" w:cs="Arial" w:hint="eastAsia"/>
          <w:bCs/>
          <w:kern w:val="0"/>
          <w:sz w:val="23"/>
          <w:szCs w:val="23"/>
        </w:rPr>
        <w:t>，本公司不良贷款与逾期</w:t>
      </w:r>
      <w:r w:rsidR="007D2AA5" w:rsidRPr="007D2AA5">
        <w:rPr>
          <w:rFonts w:ascii="Arial" w:hAnsi="Arial" w:cs="Arial" w:hint="eastAsia"/>
          <w:bCs/>
          <w:kern w:val="0"/>
          <w:sz w:val="23"/>
          <w:szCs w:val="23"/>
        </w:rPr>
        <w:t>60</w:t>
      </w:r>
      <w:r w:rsidR="007D2AA5" w:rsidRPr="007D2AA5">
        <w:rPr>
          <w:rFonts w:ascii="Arial" w:hAnsi="Arial" w:cs="Arial" w:hint="eastAsia"/>
          <w:bCs/>
          <w:kern w:val="0"/>
          <w:sz w:val="23"/>
          <w:szCs w:val="23"/>
        </w:rPr>
        <w:t>天以上贷款的比值为</w:t>
      </w:r>
      <w:r w:rsidR="007D2AA5" w:rsidRPr="007D2AA5">
        <w:rPr>
          <w:rFonts w:ascii="Arial" w:hAnsi="Arial" w:cs="Arial" w:hint="eastAsia"/>
          <w:bCs/>
          <w:kern w:val="0"/>
          <w:sz w:val="23"/>
          <w:szCs w:val="23"/>
        </w:rPr>
        <w:t>1.14</w:t>
      </w:r>
      <w:r w:rsidR="007D2AA5" w:rsidRPr="007D2AA5">
        <w:rPr>
          <w:rFonts w:ascii="Arial" w:hAnsi="Arial" w:cs="Arial" w:hint="eastAsia"/>
          <w:bCs/>
          <w:kern w:val="0"/>
          <w:sz w:val="23"/>
          <w:szCs w:val="23"/>
        </w:rPr>
        <w:t>。</w:t>
      </w:r>
    </w:p>
    <w:p w14:paraId="6BC80417" w14:textId="77777777" w:rsidR="007D2AA5" w:rsidRPr="00E91BE2" w:rsidRDefault="007D2AA5" w:rsidP="00E91BE2">
      <w:pPr>
        <w:autoSpaceDE w:val="0"/>
        <w:autoSpaceDN w:val="0"/>
        <w:adjustRightInd w:val="0"/>
        <w:rPr>
          <w:rFonts w:ascii="Arial" w:hAnsi="Arial" w:cs="Arial"/>
          <w:bCs/>
          <w:kern w:val="0"/>
          <w:sz w:val="23"/>
          <w:szCs w:val="23"/>
        </w:rPr>
      </w:pPr>
    </w:p>
    <w:p w14:paraId="79B03B97" w14:textId="6C3CB258" w:rsidR="00A51424" w:rsidRDefault="00A51424" w:rsidP="00A51424">
      <w:pPr>
        <w:autoSpaceDE w:val="0"/>
        <w:autoSpaceDN w:val="0"/>
        <w:adjustRightInd w:val="0"/>
        <w:rPr>
          <w:rFonts w:ascii="Arial" w:hAnsi="Arial" w:cs="Arial"/>
          <w:bCs/>
          <w:kern w:val="0"/>
          <w:sz w:val="23"/>
          <w:szCs w:val="23"/>
        </w:rPr>
      </w:pPr>
      <w:r w:rsidRPr="00A51424">
        <w:rPr>
          <w:rFonts w:ascii="Arial" w:hAnsi="Arial" w:cs="Arial" w:hint="eastAsia"/>
          <w:bCs/>
          <w:kern w:val="0"/>
          <w:sz w:val="23"/>
          <w:szCs w:val="23"/>
        </w:rPr>
        <w:t>202</w:t>
      </w:r>
      <w:r w:rsidR="007D2AA5">
        <w:rPr>
          <w:rFonts w:ascii="Arial" w:hAnsi="Arial" w:cs="Arial" w:hint="eastAsia"/>
          <w:bCs/>
          <w:kern w:val="0"/>
          <w:sz w:val="23"/>
          <w:szCs w:val="23"/>
        </w:rPr>
        <w:t>4</w:t>
      </w:r>
      <w:r w:rsidRPr="00A51424">
        <w:rPr>
          <w:rFonts w:ascii="Arial" w:hAnsi="Arial" w:cs="Arial" w:hint="eastAsia"/>
          <w:bCs/>
          <w:kern w:val="0"/>
          <w:sz w:val="23"/>
          <w:szCs w:val="23"/>
        </w:rPr>
        <w:t>年</w:t>
      </w:r>
      <w:r w:rsidRPr="00A51424">
        <w:rPr>
          <w:rFonts w:ascii="Arial" w:hAnsi="Arial" w:cs="Arial" w:hint="eastAsia"/>
          <w:bCs/>
          <w:kern w:val="0"/>
          <w:sz w:val="23"/>
          <w:szCs w:val="23"/>
        </w:rPr>
        <w:t>1-9</w:t>
      </w:r>
      <w:r w:rsidRPr="00A51424">
        <w:rPr>
          <w:rFonts w:ascii="Arial" w:hAnsi="Arial" w:cs="Arial" w:hint="eastAsia"/>
          <w:bCs/>
          <w:kern w:val="0"/>
          <w:sz w:val="23"/>
          <w:szCs w:val="23"/>
        </w:rPr>
        <w:t>月，本公司零售贷款资产质量保持平稳。截至报告期末，</w:t>
      </w:r>
      <w:r w:rsidR="007D2AA5" w:rsidRPr="007D2AA5">
        <w:rPr>
          <w:rFonts w:ascii="Arial" w:hAnsi="Arial" w:cs="Arial" w:hint="eastAsia"/>
          <w:bCs/>
          <w:kern w:val="0"/>
          <w:sz w:val="23"/>
          <w:szCs w:val="23"/>
        </w:rPr>
        <w:t>本公司零售不良贷款余额</w:t>
      </w:r>
      <w:r w:rsidR="007D2AA5" w:rsidRPr="007D2AA5">
        <w:rPr>
          <w:rFonts w:ascii="Arial" w:hAnsi="Arial" w:cs="Arial" w:hint="eastAsia"/>
          <w:bCs/>
          <w:kern w:val="0"/>
          <w:sz w:val="23"/>
          <w:szCs w:val="23"/>
        </w:rPr>
        <w:t>329.33</w:t>
      </w:r>
      <w:r w:rsidR="007D2AA5" w:rsidRPr="007D2AA5">
        <w:rPr>
          <w:rFonts w:ascii="Arial" w:hAnsi="Arial" w:cs="Arial" w:hint="eastAsia"/>
          <w:bCs/>
          <w:kern w:val="0"/>
          <w:sz w:val="23"/>
          <w:szCs w:val="23"/>
        </w:rPr>
        <w:t>亿元，较上年末增加</w:t>
      </w:r>
      <w:r w:rsidR="007D2AA5" w:rsidRPr="007D2AA5">
        <w:rPr>
          <w:rFonts w:ascii="Arial" w:hAnsi="Arial" w:cs="Arial" w:hint="eastAsia"/>
          <w:bCs/>
          <w:kern w:val="0"/>
          <w:sz w:val="23"/>
          <w:szCs w:val="23"/>
        </w:rPr>
        <w:t>23.94</w:t>
      </w:r>
      <w:r w:rsidR="007D2AA5" w:rsidRPr="007D2AA5">
        <w:rPr>
          <w:rFonts w:ascii="Arial" w:hAnsi="Arial" w:cs="Arial" w:hint="eastAsia"/>
          <w:bCs/>
          <w:kern w:val="0"/>
          <w:sz w:val="23"/>
          <w:szCs w:val="23"/>
        </w:rPr>
        <w:t>亿元，不良贷款率</w:t>
      </w:r>
      <w:r w:rsidR="007D2AA5" w:rsidRPr="007D2AA5">
        <w:rPr>
          <w:rFonts w:ascii="Arial" w:hAnsi="Arial" w:cs="Arial" w:hint="eastAsia"/>
          <w:bCs/>
          <w:kern w:val="0"/>
          <w:sz w:val="23"/>
          <w:szCs w:val="23"/>
        </w:rPr>
        <w:t>0.94%</w:t>
      </w:r>
      <w:r w:rsidR="007D2AA5" w:rsidRPr="007D2AA5">
        <w:rPr>
          <w:rFonts w:ascii="Arial" w:hAnsi="Arial" w:cs="Arial" w:hint="eastAsia"/>
          <w:bCs/>
          <w:kern w:val="0"/>
          <w:sz w:val="23"/>
          <w:szCs w:val="23"/>
        </w:rPr>
        <w:t>，较上年末上升</w:t>
      </w:r>
      <w:r w:rsidR="007D2AA5" w:rsidRPr="007D2AA5">
        <w:rPr>
          <w:rFonts w:ascii="Arial" w:hAnsi="Arial" w:cs="Arial" w:hint="eastAsia"/>
          <w:bCs/>
          <w:kern w:val="0"/>
          <w:sz w:val="23"/>
          <w:szCs w:val="23"/>
        </w:rPr>
        <w:t>0.03</w:t>
      </w:r>
      <w:r w:rsidR="007D2AA5" w:rsidRPr="007D2AA5">
        <w:rPr>
          <w:rFonts w:ascii="Arial" w:hAnsi="Arial" w:cs="Arial" w:hint="eastAsia"/>
          <w:bCs/>
          <w:kern w:val="0"/>
          <w:sz w:val="23"/>
          <w:szCs w:val="23"/>
        </w:rPr>
        <w:t>个百分点；关注贷款余额</w:t>
      </w:r>
      <w:r w:rsidR="007D2AA5" w:rsidRPr="007D2AA5">
        <w:rPr>
          <w:rFonts w:ascii="Arial" w:hAnsi="Arial" w:cs="Arial" w:hint="eastAsia"/>
          <w:bCs/>
          <w:kern w:val="0"/>
          <w:sz w:val="23"/>
          <w:szCs w:val="23"/>
        </w:rPr>
        <w:t>599.90</w:t>
      </w:r>
      <w:r w:rsidR="007D2AA5" w:rsidRPr="007D2AA5">
        <w:rPr>
          <w:rFonts w:ascii="Arial" w:hAnsi="Arial" w:cs="Arial" w:hint="eastAsia"/>
          <w:bCs/>
          <w:kern w:val="0"/>
          <w:sz w:val="23"/>
          <w:szCs w:val="23"/>
        </w:rPr>
        <w:t>亿元，较上年末增加</w:t>
      </w:r>
      <w:r w:rsidR="007D2AA5" w:rsidRPr="007D2AA5">
        <w:rPr>
          <w:rFonts w:ascii="Arial" w:hAnsi="Arial" w:cs="Arial" w:hint="eastAsia"/>
          <w:bCs/>
          <w:kern w:val="0"/>
          <w:sz w:val="23"/>
          <w:szCs w:val="23"/>
        </w:rPr>
        <w:t>112.51</w:t>
      </w:r>
      <w:r w:rsidR="007D2AA5" w:rsidRPr="007D2AA5">
        <w:rPr>
          <w:rFonts w:ascii="Arial" w:hAnsi="Arial" w:cs="Arial" w:hint="eastAsia"/>
          <w:bCs/>
          <w:kern w:val="0"/>
          <w:sz w:val="23"/>
          <w:szCs w:val="23"/>
        </w:rPr>
        <w:t>亿元，关注贷款率</w:t>
      </w:r>
      <w:r w:rsidR="007D2AA5" w:rsidRPr="007D2AA5">
        <w:rPr>
          <w:rFonts w:ascii="Arial" w:hAnsi="Arial" w:cs="Arial" w:hint="eastAsia"/>
          <w:bCs/>
          <w:kern w:val="0"/>
          <w:sz w:val="23"/>
          <w:szCs w:val="23"/>
        </w:rPr>
        <w:t>1.71%</w:t>
      </w:r>
      <w:r w:rsidR="007D2AA5" w:rsidRPr="007D2AA5">
        <w:rPr>
          <w:rFonts w:ascii="Arial" w:hAnsi="Arial" w:cs="Arial" w:hint="eastAsia"/>
          <w:bCs/>
          <w:kern w:val="0"/>
          <w:sz w:val="23"/>
          <w:szCs w:val="23"/>
        </w:rPr>
        <w:t>，较上年末上升</w:t>
      </w:r>
      <w:r w:rsidR="007D2AA5" w:rsidRPr="007D2AA5">
        <w:rPr>
          <w:rFonts w:ascii="Arial" w:hAnsi="Arial" w:cs="Arial" w:hint="eastAsia"/>
          <w:bCs/>
          <w:kern w:val="0"/>
          <w:sz w:val="23"/>
          <w:szCs w:val="23"/>
        </w:rPr>
        <w:t>0.27</w:t>
      </w:r>
      <w:r w:rsidR="007D2AA5" w:rsidRPr="007D2AA5">
        <w:rPr>
          <w:rFonts w:ascii="Arial" w:hAnsi="Arial" w:cs="Arial" w:hint="eastAsia"/>
          <w:bCs/>
          <w:kern w:val="0"/>
          <w:sz w:val="23"/>
          <w:szCs w:val="23"/>
        </w:rPr>
        <w:t>个百分点；逾期贷款余额</w:t>
      </w:r>
      <w:r w:rsidR="007D2AA5" w:rsidRPr="007D2AA5">
        <w:rPr>
          <w:rFonts w:ascii="Arial" w:hAnsi="Arial" w:cs="Arial" w:hint="eastAsia"/>
          <w:bCs/>
          <w:kern w:val="0"/>
          <w:sz w:val="23"/>
          <w:szCs w:val="23"/>
        </w:rPr>
        <w:t>600.53</w:t>
      </w:r>
      <w:r w:rsidR="007D2AA5" w:rsidRPr="007D2AA5">
        <w:rPr>
          <w:rFonts w:ascii="Arial" w:hAnsi="Arial" w:cs="Arial" w:hint="eastAsia"/>
          <w:bCs/>
          <w:kern w:val="0"/>
          <w:sz w:val="23"/>
          <w:szCs w:val="23"/>
        </w:rPr>
        <w:t>亿元，较上年末增加</w:t>
      </w:r>
      <w:r w:rsidR="007D2AA5" w:rsidRPr="007D2AA5">
        <w:rPr>
          <w:rFonts w:ascii="Arial" w:hAnsi="Arial" w:cs="Arial" w:hint="eastAsia"/>
          <w:bCs/>
          <w:kern w:val="0"/>
          <w:sz w:val="23"/>
          <w:szCs w:val="23"/>
        </w:rPr>
        <w:t>123.47</w:t>
      </w:r>
      <w:r w:rsidR="007D2AA5" w:rsidRPr="007D2AA5">
        <w:rPr>
          <w:rFonts w:ascii="Arial" w:hAnsi="Arial" w:cs="Arial" w:hint="eastAsia"/>
          <w:bCs/>
          <w:kern w:val="0"/>
          <w:sz w:val="23"/>
          <w:szCs w:val="23"/>
        </w:rPr>
        <w:t>亿元，逾期贷款率</w:t>
      </w:r>
      <w:r w:rsidR="007D2AA5" w:rsidRPr="007D2AA5">
        <w:rPr>
          <w:rFonts w:ascii="Arial" w:hAnsi="Arial" w:cs="Arial" w:hint="eastAsia"/>
          <w:bCs/>
          <w:kern w:val="0"/>
          <w:sz w:val="23"/>
          <w:szCs w:val="23"/>
        </w:rPr>
        <w:t>1.71%</w:t>
      </w:r>
      <w:r w:rsidR="007D2AA5" w:rsidRPr="007D2AA5">
        <w:rPr>
          <w:rFonts w:ascii="Arial" w:hAnsi="Arial" w:cs="Arial" w:hint="eastAsia"/>
          <w:bCs/>
          <w:kern w:val="0"/>
          <w:sz w:val="23"/>
          <w:szCs w:val="23"/>
        </w:rPr>
        <w:t>，较上年末上升</w:t>
      </w:r>
      <w:r w:rsidR="007D2AA5" w:rsidRPr="007D2AA5">
        <w:rPr>
          <w:rFonts w:ascii="Arial" w:hAnsi="Arial" w:cs="Arial" w:hint="eastAsia"/>
          <w:bCs/>
          <w:kern w:val="0"/>
          <w:sz w:val="23"/>
          <w:szCs w:val="23"/>
        </w:rPr>
        <w:t>0.30</w:t>
      </w:r>
      <w:r w:rsidR="007D2AA5" w:rsidRPr="007D2AA5">
        <w:rPr>
          <w:rFonts w:ascii="Arial" w:hAnsi="Arial" w:cs="Arial" w:hint="eastAsia"/>
          <w:bCs/>
          <w:kern w:val="0"/>
          <w:sz w:val="23"/>
          <w:szCs w:val="23"/>
        </w:rPr>
        <w:t>个百分点。受外部环境影响，报告期末本公司零售贷款关注率和逾期率较上年末有所上升，不良贷款率较上年末微升，总体在可控范围内。</w:t>
      </w:r>
    </w:p>
    <w:p w14:paraId="41FC0D46" w14:textId="77777777" w:rsidR="007D2AA5" w:rsidRDefault="007D2AA5" w:rsidP="00A51424">
      <w:pPr>
        <w:autoSpaceDE w:val="0"/>
        <w:autoSpaceDN w:val="0"/>
        <w:adjustRightInd w:val="0"/>
        <w:rPr>
          <w:rFonts w:ascii="Arial" w:hAnsi="Arial" w:cs="Arial"/>
          <w:bCs/>
          <w:kern w:val="0"/>
          <w:sz w:val="23"/>
          <w:szCs w:val="23"/>
        </w:rPr>
      </w:pPr>
    </w:p>
    <w:p w14:paraId="78EB1A52" w14:textId="35CC6F87" w:rsidR="00A51424" w:rsidRDefault="007D2AA5" w:rsidP="00A51424">
      <w:pPr>
        <w:autoSpaceDE w:val="0"/>
        <w:autoSpaceDN w:val="0"/>
        <w:adjustRightInd w:val="0"/>
        <w:rPr>
          <w:rFonts w:ascii="Arial" w:hAnsi="Arial" w:cs="Arial"/>
          <w:bCs/>
          <w:kern w:val="0"/>
          <w:sz w:val="23"/>
          <w:szCs w:val="23"/>
        </w:rPr>
      </w:pPr>
      <w:r>
        <w:rPr>
          <w:rFonts w:ascii="Arial" w:hAnsi="Arial" w:cs="Arial" w:hint="eastAsia"/>
          <w:bCs/>
          <w:kern w:val="0"/>
          <w:sz w:val="23"/>
          <w:szCs w:val="23"/>
        </w:rPr>
        <w:t>报告期内，</w:t>
      </w:r>
      <w:r w:rsidRPr="007D2AA5">
        <w:rPr>
          <w:rFonts w:ascii="Arial" w:hAnsi="Arial" w:cs="Arial" w:hint="eastAsia"/>
          <w:bCs/>
          <w:kern w:val="0"/>
          <w:sz w:val="23"/>
          <w:szCs w:val="23"/>
        </w:rPr>
        <w:t>本公司新生成不良贷款</w:t>
      </w:r>
      <w:r w:rsidRPr="007D2AA5">
        <w:rPr>
          <w:rFonts w:ascii="Arial" w:hAnsi="Arial" w:cs="Arial" w:hint="eastAsia"/>
          <w:bCs/>
          <w:kern w:val="0"/>
          <w:sz w:val="23"/>
          <w:szCs w:val="23"/>
        </w:rPr>
        <w:t>482.05</w:t>
      </w:r>
      <w:r w:rsidRPr="007D2AA5">
        <w:rPr>
          <w:rFonts w:ascii="Arial" w:hAnsi="Arial" w:cs="Arial" w:hint="eastAsia"/>
          <w:bCs/>
          <w:kern w:val="0"/>
          <w:sz w:val="23"/>
          <w:szCs w:val="23"/>
        </w:rPr>
        <w:t>亿元，同比增加</w:t>
      </w:r>
      <w:r w:rsidRPr="007D2AA5">
        <w:rPr>
          <w:rFonts w:ascii="Arial" w:hAnsi="Arial" w:cs="Arial" w:hint="eastAsia"/>
          <w:bCs/>
          <w:kern w:val="0"/>
          <w:sz w:val="23"/>
          <w:szCs w:val="23"/>
        </w:rPr>
        <w:t>27.10</w:t>
      </w:r>
      <w:r w:rsidRPr="007D2AA5">
        <w:rPr>
          <w:rFonts w:ascii="Arial" w:hAnsi="Arial" w:cs="Arial" w:hint="eastAsia"/>
          <w:bCs/>
          <w:kern w:val="0"/>
          <w:sz w:val="23"/>
          <w:szCs w:val="23"/>
        </w:rPr>
        <w:t>亿元；不良贷款生成率（年化）</w:t>
      </w:r>
      <w:r w:rsidRPr="007D2AA5">
        <w:rPr>
          <w:rFonts w:ascii="Arial" w:hAnsi="Arial" w:cs="Arial" w:hint="eastAsia"/>
          <w:bCs/>
          <w:kern w:val="0"/>
          <w:sz w:val="23"/>
          <w:szCs w:val="23"/>
        </w:rPr>
        <w:t>1.02%</w:t>
      </w:r>
      <w:r w:rsidRPr="007D2AA5">
        <w:rPr>
          <w:rFonts w:ascii="Arial" w:hAnsi="Arial" w:cs="Arial" w:hint="eastAsia"/>
          <w:bCs/>
          <w:kern w:val="0"/>
          <w:sz w:val="23"/>
          <w:szCs w:val="23"/>
        </w:rPr>
        <w:t>，同比下降</w:t>
      </w:r>
      <w:r w:rsidRPr="007D2AA5">
        <w:rPr>
          <w:rFonts w:ascii="Arial" w:hAnsi="Arial" w:cs="Arial" w:hint="eastAsia"/>
          <w:bCs/>
          <w:kern w:val="0"/>
          <w:sz w:val="23"/>
          <w:szCs w:val="23"/>
        </w:rPr>
        <w:t>0.01</w:t>
      </w:r>
      <w:r w:rsidRPr="007D2AA5">
        <w:rPr>
          <w:rFonts w:ascii="Arial" w:hAnsi="Arial" w:cs="Arial" w:hint="eastAsia"/>
          <w:bCs/>
          <w:kern w:val="0"/>
          <w:sz w:val="23"/>
          <w:szCs w:val="23"/>
        </w:rPr>
        <w:t>个百分点。其中，公司贷款不良生成额</w:t>
      </w:r>
      <w:r w:rsidRPr="007D2AA5">
        <w:rPr>
          <w:rFonts w:ascii="Arial" w:hAnsi="Arial" w:cs="Arial" w:hint="eastAsia"/>
          <w:bCs/>
          <w:kern w:val="0"/>
          <w:sz w:val="23"/>
          <w:szCs w:val="23"/>
        </w:rPr>
        <w:t>77.49</w:t>
      </w:r>
      <w:r w:rsidRPr="007D2AA5">
        <w:rPr>
          <w:rFonts w:ascii="Arial" w:hAnsi="Arial" w:cs="Arial" w:hint="eastAsia"/>
          <w:bCs/>
          <w:kern w:val="0"/>
          <w:sz w:val="23"/>
          <w:szCs w:val="23"/>
        </w:rPr>
        <w:t>亿元，同比减少</w:t>
      </w:r>
      <w:r w:rsidRPr="007D2AA5">
        <w:rPr>
          <w:rFonts w:ascii="Arial" w:hAnsi="Arial" w:cs="Arial" w:hint="eastAsia"/>
          <w:bCs/>
          <w:kern w:val="0"/>
          <w:sz w:val="23"/>
          <w:szCs w:val="23"/>
        </w:rPr>
        <w:t>14.59</w:t>
      </w:r>
      <w:r w:rsidRPr="007D2AA5">
        <w:rPr>
          <w:rFonts w:ascii="Arial" w:hAnsi="Arial" w:cs="Arial" w:hint="eastAsia"/>
          <w:bCs/>
          <w:kern w:val="0"/>
          <w:sz w:val="23"/>
          <w:szCs w:val="23"/>
        </w:rPr>
        <w:t>亿元；零售贷款（不含信用卡）不良生成额</w:t>
      </w:r>
      <w:r w:rsidRPr="007D2AA5">
        <w:rPr>
          <w:rFonts w:ascii="Arial" w:hAnsi="Arial" w:cs="Arial" w:hint="eastAsia"/>
          <w:bCs/>
          <w:kern w:val="0"/>
          <w:sz w:val="23"/>
          <w:szCs w:val="23"/>
        </w:rPr>
        <w:t>107.11</w:t>
      </w:r>
      <w:r w:rsidRPr="007D2AA5">
        <w:rPr>
          <w:rFonts w:ascii="Arial" w:hAnsi="Arial" w:cs="Arial" w:hint="eastAsia"/>
          <w:bCs/>
          <w:kern w:val="0"/>
          <w:sz w:val="23"/>
          <w:szCs w:val="23"/>
        </w:rPr>
        <w:t>亿元，同比增加</w:t>
      </w:r>
      <w:r w:rsidRPr="007D2AA5">
        <w:rPr>
          <w:rFonts w:ascii="Arial" w:hAnsi="Arial" w:cs="Arial" w:hint="eastAsia"/>
          <w:bCs/>
          <w:kern w:val="0"/>
          <w:sz w:val="23"/>
          <w:szCs w:val="23"/>
        </w:rPr>
        <w:t>41.42</w:t>
      </w:r>
      <w:r w:rsidRPr="007D2AA5">
        <w:rPr>
          <w:rFonts w:ascii="Arial" w:hAnsi="Arial" w:cs="Arial" w:hint="eastAsia"/>
          <w:bCs/>
          <w:kern w:val="0"/>
          <w:sz w:val="23"/>
          <w:szCs w:val="23"/>
        </w:rPr>
        <w:t>亿元；信用卡新生成不良贷款</w:t>
      </w:r>
      <w:r w:rsidRPr="007D2AA5">
        <w:rPr>
          <w:rFonts w:ascii="Arial" w:hAnsi="Arial" w:cs="Arial" w:hint="eastAsia"/>
          <w:bCs/>
          <w:kern w:val="0"/>
          <w:sz w:val="23"/>
          <w:szCs w:val="23"/>
        </w:rPr>
        <w:t>297.45</w:t>
      </w:r>
      <w:r w:rsidRPr="007D2AA5">
        <w:rPr>
          <w:rFonts w:ascii="Arial" w:hAnsi="Arial" w:cs="Arial" w:hint="eastAsia"/>
          <w:bCs/>
          <w:kern w:val="0"/>
          <w:sz w:val="23"/>
          <w:szCs w:val="23"/>
        </w:rPr>
        <w:t>亿元，同比增加</w:t>
      </w:r>
      <w:r w:rsidRPr="007D2AA5">
        <w:rPr>
          <w:rFonts w:ascii="Arial" w:hAnsi="Arial" w:cs="Arial" w:hint="eastAsia"/>
          <w:bCs/>
          <w:kern w:val="0"/>
          <w:sz w:val="23"/>
          <w:szCs w:val="23"/>
        </w:rPr>
        <w:t>0.27</w:t>
      </w:r>
      <w:r w:rsidRPr="007D2AA5">
        <w:rPr>
          <w:rFonts w:ascii="Arial" w:hAnsi="Arial" w:cs="Arial" w:hint="eastAsia"/>
          <w:bCs/>
          <w:kern w:val="0"/>
          <w:sz w:val="23"/>
          <w:szCs w:val="23"/>
        </w:rPr>
        <w:t>亿元。</w:t>
      </w:r>
    </w:p>
    <w:p w14:paraId="6E5DAF67" w14:textId="77777777" w:rsidR="00A51424" w:rsidRPr="00A51424" w:rsidRDefault="00A51424" w:rsidP="00A51424">
      <w:pPr>
        <w:autoSpaceDE w:val="0"/>
        <w:autoSpaceDN w:val="0"/>
        <w:adjustRightInd w:val="0"/>
        <w:rPr>
          <w:rFonts w:ascii="Arial" w:hAnsi="Arial" w:cs="Arial"/>
          <w:bCs/>
          <w:kern w:val="0"/>
          <w:sz w:val="23"/>
          <w:szCs w:val="23"/>
        </w:rPr>
      </w:pPr>
    </w:p>
    <w:p w14:paraId="1B1EE6C0" w14:textId="32EEF205" w:rsidR="00733AC8" w:rsidRDefault="007D2AA5" w:rsidP="00A51424">
      <w:pPr>
        <w:autoSpaceDE w:val="0"/>
        <w:autoSpaceDN w:val="0"/>
        <w:adjustRightInd w:val="0"/>
        <w:rPr>
          <w:rFonts w:ascii="Arial" w:hAnsi="Arial" w:cs="Arial"/>
          <w:bCs/>
          <w:kern w:val="0"/>
          <w:sz w:val="23"/>
          <w:szCs w:val="23"/>
        </w:rPr>
      </w:pPr>
      <w:r w:rsidRPr="007D2AA5">
        <w:rPr>
          <w:rFonts w:ascii="Arial" w:hAnsi="Arial" w:cs="Arial" w:hint="eastAsia"/>
          <w:bCs/>
          <w:kern w:val="0"/>
          <w:sz w:val="23"/>
          <w:szCs w:val="23"/>
        </w:rPr>
        <w:t>本公司继续积极处置不良资产，</w:t>
      </w:r>
      <w:r w:rsidRPr="007D2AA5">
        <w:rPr>
          <w:rFonts w:ascii="Arial" w:hAnsi="Arial" w:cs="Arial" w:hint="eastAsia"/>
          <w:bCs/>
          <w:kern w:val="0"/>
          <w:sz w:val="23"/>
          <w:szCs w:val="23"/>
        </w:rPr>
        <w:t>2024</w:t>
      </w:r>
      <w:r w:rsidRPr="007D2AA5">
        <w:rPr>
          <w:rFonts w:ascii="Arial" w:hAnsi="Arial" w:cs="Arial" w:hint="eastAsia"/>
          <w:bCs/>
          <w:kern w:val="0"/>
          <w:sz w:val="23"/>
          <w:szCs w:val="23"/>
        </w:rPr>
        <w:t>年</w:t>
      </w:r>
      <w:r w:rsidRPr="007D2AA5">
        <w:rPr>
          <w:rFonts w:ascii="Arial" w:hAnsi="Arial" w:cs="Arial" w:hint="eastAsia"/>
          <w:bCs/>
          <w:kern w:val="0"/>
          <w:sz w:val="23"/>
          <w:szCs w:val="23"/>
        </w:rPr>
        <w:t>1-9</w:t>
      </w:r>
      <w:r w:rsidRPr="007D2AA5">
        <w:rPr>
          <w:rFonts w:ascii="Arial" w:hAnsi="Arial" w:cs="Arial" w:hint="eastAsia"/>
          <w:bCs/>
          <w:kern w:val="0"/>
          <w:sz w:val="23"/>
          <w:szCs w:val="23"/>
        </w:rPr>
        <w:t>月共处置不良贷款</w:t>
      </w:r>
      <w:r w:rsidRPr="007D2AA5">
        <w:rPr>
          <w:rFonts w:ascii="Arial" w:hAnsi="Arial" w:cs="Arial" w:hint="eastAsia"/>
          <w:bCs/>
          <w:kern w:val="0"/>
          <w:sz w:val="23"/>
          <w:szCs w:val="23"/>
        </w:rPr>
        <w:t>461.07</w:t>
      </w:r>
      <w:r w:rsidRPr="007D2AA5">
        <w:rPr>
          <w:rFonts w:ascii="Arial" w:hAnsi="Arial" w:cs="Arial" w:hint="eastAsia"/>
          <w:bCs/>
          <w:kern w:val="0"/>
          <w:sz w:val="23"/>
          <w:szCs w:val="23"/>
        </w:rPr>
        <w:t>亿元，其中，常规核销</w:t>
      </w:r>
      <w:r w:rsidRPr="007D2AA5">
        <w:rPr>
          <w:rFonts w:ascii="Arial" w:hAnsi="Arial" w:cs="Arial" w:hint="eastAsia"/>
          <w:bCs/>
          <w:kern w:val="0"/>
          <w:sz w:val="23"/>
          <w:szCs w:val="23"/>
        </w:rPr>
        <w:t>220.05</w:t>
      </w:r>
      <w:r w:rsidRPr="007D2AA5">
        <w:rPr>
          <w:rFonts w:ascii="Arial" w:hAnsi="Arial" w:cs="Arial" w:hint="eastAsia"/>
          <w:bCs/>
          <w:kern w:val="0"/>
          <w:sz w:val="23"/>
          <w:szCs w:val="23"/>
        </w:rPr>
        <w:t>亿元，清收</w:t>
      </w:r>
      <w:r w:rsidRPr="007D2AA5">
        <w:rPr>
          <w:rFonts w:ascii="Arial" w:hAnsi="Arial" w:cs="Arial" w:hint="eastAsia"/>
          <w:bCs/>
          <w:kern w:val="0"/>
          <w:sz w:val="23"/>
          <w:szCs w:val="23"/>
        </w:rPr>
        <w:t>57.31</w:t>
      </w:r>
      <w:r w:rsidRPr="007D2AA5">
        <w:rPr>
          <w:rFonts w:ascii="Arial" w:hAnsi="Arial" w:cs="Arial" w:hint="eastAsia"/>
          <w:bCs/>
          <w:kern w:val="0"/>
          <w:sz w:val="23"/>
          <w:szCs w:val="23"/>
        </w:rPr>
        <w:t>亿元，不良资产证券化</w:t>
      </w:r>
      <w:r w:rsidRPr="007D2AA5">
        <w:rPr>
          <w:rFonts w:ascii="Arial" w:hAnsi="Arial" w:cs="Arial" w:hint="eastAsia"/>
          <w:bCs/>
          <w:kern w:val="0"/>
          <w:sz w:val="23"/>
          <w:szCs w:val="23"/>
        </w:rPr>
        <w:t>162.67</w:t>
      </w:r>
      <w:r w:rsidRPr="007D2AA5">
        <w:rPr>
          <w:rFonts w:ascii="Arial" w:hAnsi="Arial" w:cs="Arial" w:hint="eastAsia"/>
          <w:bCs/>
          <w:kern w:val="0"/>
          <w:sz w:val="23"/>
          <w:szCs w:val="23"/>
        </w:rPr>
        <w:t>亿元，通过抵债、转让、重组上迁、减免等其他方式处置</w:t>
      </w:r>
      <w:r w:rsidRPr="007D2AA5">
        <w:rPr>
          <w:rFonts w:ascii="Arial" w:hAnsi="Arial" w:cs="Arial" w:hint="eastAsia"/>
          <w:bCs/>
          <w:kern w:val="0"/>
          <w:sz w:val="23"/>
          <w:szCs w:val="23"/>
        </w:rPr>
        <w:t>21.04</w:t>
      </w:r>
      <w:r w:rsidRPr="007D2AA5">
        <w:rPr>
          <w:rFonts w:ascii="Arial" w:hAnsi="Arial" w:cs="Arial" w:hint="eastAsia"/>
          <w:bCs/>
          <w:kern w:val="0"/>
          <w:sz w:val="23"/>
          <w:szCs w:val="23"/>
        </w:rPr>
        <w:t>亿元。</w:t>
      </w:r>
    </w:p>
    <w:p w14:paraId="0B870F9F" w14:textId="77777777" w:rsidR="00A51424" w:rsidRDefault="00A51424" w:rsidP="00A51424">
      <w:pPr>
        <w:autoSpaceDE w:val="0"/>
        <w:autoSpaceDN w:val="0"/>
        <w:adjustRightInd w:val="0"/>
        <w:rPr>
          <w:rFonts w:ascii="Arial" w:hAnsi="Arial" w:cs="Arial"/>
          <w:bCs/>
          <w:kern w:val="0"/>
          <w:sz w:val="23"/>
          <w:szCs w:val="23"/>
        </w:rPr>
      </w:pPr>
    </w:p>
    <w:p w14:paraId="58435F2A" w14:textId="7B338569" w:rsidR="00A51424" w:rsidRDefault="00460FFA" w:rsidP="00E91BE2">
      <w:pPr>
        <w:autoSpaceDE w:val="0"/>
        <w:autoSpaceDN w:val="0"/>
        <w:adjustRightInd w:val="0"/>
        <w:rPr>
          <w:rFonts w:ascii="Arial" w:hAnsi="Arial" w:cs="Arial"/>
          <w:bCs/>
          <w:kern w:val="0"/>
          <w:sz w:val="23"/>
          <w:szCs w:val="23"/>
        </w:rPr>
      </w:pPr>
      <w:r w:rsidRPr="00460FFA">
        <w:rPr>
          <w:rFonts w:ascii="Arial" w:hAnsi="Arial" w:cs="Arial" w:hint="eastAsia"/>
          <w:bCs/>
          <w:kern w:val="0"/>
          <w:sz w:val="23"/>
          <w:szCs w:val="23"/>
        </w:rPr>
        <w:t>本公司按照金融工具准则要求，以预期信用损失模型为基础，基于客户的违约概率、违约损失率等风险量化参数，结合宏观前瞻性调整，根据客户和业务结构以及实际风险的变化情况，审慎计</w:t>
      </w:r>
      <w:proofErr w:type="gramStart"/>
      <w:r w:rsidRPr="00460FFA">
        <w:rPr>
          <w:rFonts w:ascii="Arial" w:hAnsi="Arial" w:cs="Arial" w:hint="eastAsia"/>
          <w:bCs/>
          <w:kern w:val="0"/>
          <w:sz w:val="23"/>
          <w:szCs w:val="23"/>
        </w:rPr>
        <w:t>提贷</w:t>
      </w:r>
      <w:proofErr w:type="gramEnd"/>
      <w:r w:rsidRPr="00460FFA">
        <w:rPr>
          <w:rFonts w:ascii="Arial" w:hAnsi="Arial" w:cs="Arial" w:hint="eastAsia"/>
          <w:bCs/>
          <w:kern w:val="0"/>
          <w:sz w:val="23"/>
          <w:szCs w:val="23"/>
        </w:rPr>
        <w:t>款损失准备，信用风险抵补充足。截至报告期末，本公司贷款损失</w:t>
      </w:r>
      <w:proofErr w:type="gramStart"/>
      <w:r w:rsidRPr="00460FFA">
        <w:rPr>
          <w:rFonts w:ascii="Arial" w:hAnsi="Arial" w:cs="Arial" w:hint="eastAsia"/>
          <w:bCs/>
          <w:kern w:val="0"/>
          <w:sz w:val="23"/>
          <w:szCs w:val="23"/>
        </w:rPr>
        <w:t>准备余额</w:t>
      </w:r>
      <w:proofErr w:type="gramEnd"/>
      <w:r w:rsidRPr="00460FFA">
        <w:rPr>
          <w:rFonts w:ascii="Arial" w:hAnsi="Arial" w:cs="Arial" w:hint="eastAsia"/>
          <w:bCs/>
          <w:kern w:val="0"/>
          <w:sz w:val="23"/>
          <w:szCs w:val="23"/>
        </w:rPr>
        <w:t>2,647.58</w:t>
      </w:r>
      <w:r w:rsidRPr="00460FFA">
        <w:rPr>
          <w:rFonts w:ascii="Arial" w:hAnsi="Arial" w:cs="Arial" w:hint="eastAsia"/>
          <w:bCs/>
          <w:kern w:val="0"/>
          <w:sz w:val="23"/>
          <w:szCs w:val="23"/>
        </w:rPr>
        <w:t>亿元，较上年末增加</w:t>
      </w:r>
      <w:r w:rsidRPr="00460FFA">
        <w:rPr>
          <w:rFonts w:ascii="Arial" w:hAnsi="Arial" w:cs="Arial" w:hint="eastAsia"/>
          <w:bCs/>
          <w:kern w:val="0"/>
          <w:sz w:val="23"/>
          <w:szCs w:val="23"/>
        </w:rPr>
        <w:t>33.56</w:t>
      </w:r>
      <w:r w:rsidRPr="00460FFA">
        <w:rPr>
          <w:rFonts w:ascii="Arial" w:hAnsi="Arial" w:cs="Arial" w:hint="eastAsia"/>
          <w:bCs/>
          <w:kern w:val="0"/>
          <w:sz w:val="23"/>
          <w:szCs w:val="23"/>
        </w:rPr>
        <w:t>亿元；拨备覆盖率</w:t>
      </w:r>
      <w:r w:rsidRPr="00460FFA">
        <w:rPr>
          <w:rFonts w:ascii="Arial" w:hAnsi="Arial" w:cs="Arial" w:hint="eastAsia"/>
          <w:bCs/>
          <w:kern w:val="0"/>
          <w:sz w:val="23"/>
          <w:szCs w:val="23"/>
        </w:rPr>
        <w:t>446.38%</w:t>
      </w:r>
      <w:r w:rsidRPr="00460FFA">
        <w:rPr>
          <w:rFonts w:ascii="Arial" w:hAnsi="Arial" w:cs="Arial" w:hint="eastAsia"/>
          <w:bCs/>
          <w:kern w:val="0"/>
          <w:sz w:val="23"/>
          <w:szCs w:val="23"/>
        </w:rPr>
        <w:t>，较上年末下降</w:t>
      </w:r>
      <w:r w:rsidRPr="00460FFA">
        <w:rPr>
          <w:rFonts w:ascii="Arial" w:hAnsi="Arial" w:cs="Arial" w:hint="eastAsia"/>
          <w:bCs/>
          <w:kern w:val="0"/>
          <w:sz w:val="23"/>
          <w:szCs w:val="23"/>
        </w:rPr>
        <w:t>10.35</w:t>
      </w:r>
      <w:r w:rsidRPr="00460FFA">
        <w:rPr>
          <w:rFonts w:ascii="Arial" w:hAnsi="Arial" w:cs="Arial" w:hint="eastAsia"/>
          <w:bCs/>
          <w:kern w:val="0"/>
          <w:sz w:val="23"/>
          <w:szCs w:val="23"/>
        </w:rPr>
        <w:t>个百分点；贷款</w:t>
      </w:r>
      <w:proofErr w:type="gramStart"/>
      <w:r w:rsidRPr="00460FFA">
        <w:rPr>
          <w:rFonts w:ascii="Arial" w:hAnsi="Arial" w:cs="Arial" w:hint="eastAsia"/>
          <w:bCs/>
          <w:kern w:val="0"/>
          <w:sz w:val="23"/>
          <w:szCs w:val="23"/>
        </w:rPr>
        <w:t>拨备率</w:t>
      </w:r>
      <w:proofErr w:type="gramEnd"/>
      <w:r w:rsidRPr="00460FFA">
        <w:rPr>
          <w:rFonts w:ascii="Arial" w:hAnsi="Arial" w:cs="Arial" w:hint="eastAsia"/>
          <w:bCs/>
          <w:kern w:val="0"/>
          <w:sz w:val="23"/>
          <w:szCs w:val="23"/>
        </w:rPr>
        <w:t>4.12%</w:t>
      </w:r>
      <w:r w:rsidRPr="00460FFA">
        <w:rPr>
          <w:rFonts w:ascii="Arial" w:hAnsi="Arial" w:cs="Arial" w:hint="eastAsia"/>
          <w:bCs/>
          <w:kern w:val="0"/>
          <w:sz w:val="23"/>
          <w:szCs w:val="23"/>
        </w:rPr>
        <w:t>，较上年末下降</w:t>
      </w:r>
      <w:r w:rsidRPr="00460FFA">
        <w:rPr>
          <w:rFonts w:ascii="Arial" w:hAnsi="Arial" w:cs="Arial" w:hint="eastAsia"/>
          <w:bCs/>
          <w:kern w:val="0"/>
          <w:sz w:val="23"/>
          <w:szCs w:val="23"/>
        </w:rPr>
        <w:t>0.12</w:t>
      </w:r>
      <w:r w:rsidRPr="00460FFA">
        <w:rPr>
          <w:rFonts w:ascii="Arial" w:hAnsi="Arial" w:cs="Arial" w:hint="eastAsia"/>
          <w:bCs/>
          <w:kern w:val="0"/>
          <w:sz w:val="23"/>
          <w:szCs w:val="23"/>
        </w:rPr>
        <w:t>个百分点；信用成本（年化）</w:t>
      </w:r>
      <w:r w:rsidRPr="00460FFA">
        <w:rPr>
          <w:rFonts w:ascii="Arial" w:hAnsi="Arial" w:cs="Arial" w:hint="eastAsia"/>
          <w:bCs/>
          <w:kern w:val="0"/>
          <w:sz w:val="23"/>
          <w:szCs w:val="23"/>
        </w:rPr>
        <w:t>0.71%</w:t>
      </w:r>
      <w:r w:rsidRPr="00460FFA">
        <w:rPr>
          <w:rFonts w:ascii="Arial" w:hAnsi="Arial" w:cs="Arial" w:hint="eastAsia"/>
          <w:bCs/>
          <w:kern w:val="0"/>
          <w:sz w:val="23"/>
          <w:szCs w:val="23"/>
        </w:rPr>
        <w:t>，较上年全年下降</w:t>
      </w:r>
      <w:r w:rsidRPr="00460FFA">
        <w:rPr>
          <w:rFonts w:ascii="Arial" w:hAnsi="Arial" w:cs="Arial" w:hint="eastAsia"/>
          <w:bCs/>
          <w:kern w:val="0"/>
          <w:sz w:val="23"/>
          <w:szCs w:val="23"/>
        </w:rPr>
        <w:t>0.01</w:t>
      </w:r>
      <w:r w:rsidRPr="00460FFA">
        <w:rPr>
          <w:rFonts w:ascii="Arial" w:hAnsi="Arial" w:cs="Arial" w:hint="eastAsia"/>
          <w:bCs/>
          <w:kern w:val="0"/>
          <w:sz w:val="23"/>
          <w:szCs w:val="23"/>
        </w:rPr>
        <w:t>个百</w:t>
      </w:r>
      <w:r w:rsidRPr="00460FFA">
        <w:rPr>
          <w:rFonts w:ascii="Arial" w:hAnsi="Arial" w:cs="Arial" w:hint="eastAsia"/>
          <w:bCs/>
          <w:kern w:val="0"/>
          <w:sz w:val="23"/>
          <w:szCs w:val="23"/>
        </w:rPr>
        <w:lastRenderedPageBreak/>
        <w:t>分点。</w:t>
      </w:r>
    </w:p>
    <w:p w14:paraId="377E8802" w14:textId="77777777" w:rsidR="00460FFA" w:rsidRPr="007D2AA5" w:rsidRDefault="00460FFA" w:rsidP="00E91BE2">
      <w:pPr>
        <w:autoSpaceDE w:val="0"/>
        <w:autoSpaceDN w:val="0"/>
        <w:adjustRightInd w:val="0"/>
        <w:rPr>
          <w:rFonts w:ascii="Arial" w:hAnsi="Arial" w:cs="Arial"/>
          <w:bCs/>
          <w:kern w:val="0"/>
          <w:sz w:val="23"/>
          <w:szCs w:val="23"/>
          <w:highlight w:val="yellow"/>
        </w:rPr>
      </w:pPr>
    </w:p>
    <w:p w14:paraId="3817C461" w14:textId="23089E35" w:rsidR="00A51424" w:rsidRDefault="007D2AA5" w:rsidP="00F9070F">
      <w:pPr>
        <w:autoSpaceDE w:val="0"/>
        <w:autoSpaceDN w:val="0"/>
        <w:adjustRightInd w:val="0"/>
        <w:rPr>
          <w:rFonts w:ascii="Arial" w:hAnsi="Arial" w:cs="Arial"/>
          <w:bCs/>
          <w:kern w:val="0"/>
          <w:sz w:val="23"/>
          <w:szCs w:val="23"/>
        </w:rPr>
      </w:pPr>
      <w:r w:rsidRPr="007D2AA5">
        <w:rPr>
          <w:rFonts w:ascii="Arial" w:hAnsi="Arial" w:cs="Arial" w:hint="eastAsia"/>
          <w:bCs/>
          <w:kern w:val="0"/>
          <w:sz w:val="23"/>
          <w:szCs w:val="23"/>
        </w:rPr>
        <w:t>今年以来，外部环境变化带来的不确定性增多，世界经济增长动能不足，通胀压力有所缓解，主要经济体经济表现有所分化，货币政策进入降息周期。我国经济运行总体平稳，高质量发展扎实推进，但仍面临有效需求不足、社会预期偏弱等挑战。本公司将密切关注宏观经济形势变化，积极应对，坚守底线，持续健全机制建设，提升风险管理能力。围绕行业、区域、客群的“动态再平衡”策略，做实资产业务“一行一策”名单制经营，全力推动客群结构优化和优质资产投放；做好重点领域风险管控，开展大额客户风险排查，严格落实城市房地产融资协调机制，促进房地产市场平稳健康发展，结合一揽子化债方案，稳妥化解存量债务风险，严格控制新增债务；加强对早期逾期业务的监测管理，从严资产分类，充分计</w:t>
      </w:r>
      <w:proofErr w:type="gramStart"/>
      <w:r w:rsidRPr="007D2AA5">
        <w:rPr>
          <w:rFonts w:ascii="Arial" w:hAnsi="Arial" w:cs="Arial" w:hint="eastAsia"/>
          <w:bCs/>
          <w:kern w:val="0"/>
          <w:sz w:val="23"/>
          <w:szCs w:val="23"/>
        </w:rPr>
        <w:t>提拨</w:t>
      </w:r>
      <w:proofErr w:type="gramEnd"/>
      <w:r w:rsidRPr="007D2AA5">
        <w:rPr>
          <w:rFonts w:ascii="Arial" w:hAnsi="Arial" w:cs="Arial" w:hint="eastAsia"/>
          <w:bCs/>
          <w:kern w:val="0"/>
          <w:sz w:val="23"/>
          <w:szCs w:val="23"/>
        </w:rPr>
        <w:t>备，有效防范化解潜在风险，积极运用多种途径处置存量不良资产，保持资产质量总体稳定。</w:t>
      </w:r>
    </w:p>
    <w:p w14:paraId="46A348FB" w14:textId="77777777" w:rsidR="007D2AA5" w:rsidRPr="007D2AA5" w:rsidRDefault="007D2AA5" w:rsidP="00F9070F">
      <w:pPr>
        <w:autoSpaceDE w:val="0"/>
        <w:autoSpaceDN w:val="0"/>
        <w:adjustRightInd w:val="0"/>
        <w:rPr>
          <w:rFonts w:ascii="Arial" w:hAnsi="Arial" w:cs="Arial"/>
          <w:bCs/>
          <w:kern w:val="0"/>
          <w:sz w:val="23"/>
          <w:szCs w:val="23"/>
          <w:highlight w:val="yellow"/>
        </w:rPr>
      </w:pPr>
    </w:p>
    <w:p w14:paraId="02D5833A" w14:textId="4D9BFFF7" w:rsidR="00534855" w:rsidRPr="007D2AA5" w:rsidRDefault="00624CDF" w:rsidP="00E91BE2">
      <w:pPr>
        <w:autoSpaceDE w:val="0"/>
        <w:autoSpaceDN w:val="0"/>
        <w:adjustRightInd w:val="0"/>
        <w:rPr>
          <w:rFonts w:ascii="Arial" w:hAnsi="Arial" w:cs="Arial"/>
          <w:bCs/>
          <w:kern w:val="0"/>
          <w:sz w:val="23"/>
          <w:szCs w:val="23"/>
          <w:highlight w:val="yellow"/>
        </w:rPr>
      </w:pPr>
      <w:bookmarkStart w:id="21" w:name="_Hlk133264231"/>
      <w:r w:rsidRPr="00624CDF">
        <w:rPr>
          <w:rFonts w:ascii="Arial" w:hAnsi="Arial" w:cs="Arial" w:hint="eastAsia"/>
          <w:b/>
          <w:kern w:val="0"/>
          <w:sz w:val="23"/>
          <w:szCs w:val="23"/>
        </w:rPr>
        <w:t>财富管理基本</w:t>
      </w:r>
      <w:proofErr w:type="gramStart"/>
      <w:r w:rsidRPr="00624CDF">
        <w:rPr>
          <w:rFonts w:ascii="Arial" w:hAnsi="Arial" w:cs="Arial" w:hint="eastAsia"/>
          <w:b/>
          <w:kern w:val="0"/>
          <w:sz w:val="23"/>
          <w:szCs w:val="23"/>
        </w:rPr>
        <w:t>盘更加</w:t>
      </w:r>
      <w:proofErr w:type="gramEnd"/>
      <w:r w:rsidRPr="00624CDF">
        <w:rPr>
          <w:rFonts w:ascii="Arial" w:hAnsi="Arial" w:cs="Arial" w:hint="eastAsia"/>
          <w:b/>
          <w:kern w:val="0"/>
          <w:sz w:val="23"/>
          <w:szCs w:val="23"/>
        </w:rPr>
        <w:t>稳固，</w:t>
      </w:r>
      <w:r w:rsidR="00D04781" w:rsidRPr="00624CDF">
        <w:rPr>
          <w:rFonts w:ascii="Arial" w:hAnsi="Arial" w:cs="Arial" w:hint="eastAsia"/>
          <w:b/>
          <w:kern w:val="0"/>
          <w:sz w:val="23"/>
          <w:szCs w:val="23"/>
        </w:rPr>
        <w:t>零售</w:t>
      </w:r>
      <w:r w:rsidR="00733AC8" w:rsidRPr="00624CDF">
        <w:rPr>
          <w:rFonts w:ascii="Arial" w:hAnsi="Arial" w:cs="Arial" w:hint="eastAsia"/>
          <w:b/>
          <w:kern w:val="0"/>
          <w:sz w:val="23"/>
          <w:szCs w:val="23"/>
        </w:rPr>
        <w:t>AUM</w:t>
      </w:r>
      <w:r w:rsidR="00534855" w:rsidRPr="00624CDF">
        <w:rPr>
          <w:rFonts w:ascii="Arial" w:hAnsi="Arial" w:cs="Arial" w:hint="eastAsia"/>
          <w:b/>
          <w:kern w:val="0"/>
          <w:sz w:val="23"/>
          <w:szCs w:val="23"/>
        </w:rPr>
        <w:t>进一步增加</w:t>
      </w:r>
      <w:r w:rsidR="00E91BE2" w:rsidRPr="00624CDF">
        <w:rPr>
          <w:rFonts w:ascii="Arial" w:hAnsi="Arial" w:cs="Arial" w:hint="eastAsia"/>
          <w:b/>
          <w:kern w:val="0"/>
          <w:sz w:val="23"/>
          <w:szCs w:val="23"/>
        </w:rPr>
        <w:t>。</w:t>
      </w:r>
      <w:bookmarkEnd w:id="21"/>
      <w:r w:rsidR="00460FFA" w:rsidRPr="00460FFA">
        <w:rPr>
          <w:rFonts w:ascii="Arial" w:hAnsi="Arial" w:cs="Arial" w:hint="eastAsia"/>
          <w:bCs/>
          <w:kern w:val="0"/>
          <w:sz w:val="23"/>
          <w:szCs w:val="23"/>
        </w:rPr>
        <w:t>截至报告期末，本公司零售客户数</w:t>
      </w:r>
      <w:r w:rsidR="00460FFA" w:rsidRPr="00460FFA">
        <w:rPr>
          <w:rFonts w:ascii="Arial" w:hAnsi="Arial" w:cs="Arial" w:hint="eastAsia"/>
          <w:bCs/>
          <w:kern w:val="0"/>
          <w:sz w:val="23"/>
          <w:szCs w:val="23"/>
        </w:rPr>
        <w:t>2.06</w:t>
      </w:r>
      <w:r w:rsidR="00460FFA" w:rsidRPr="00460FFA">
        <w:rPr>
          <w:rFonts w:ascii="Arial" w:hAnsi="Arial" w:cs="Arial" w:hint="eastAsia"/>
          <w:bCs/>
          <w:kern w:val="0"/>
          <w:sz w:val="23"/>
          <w:szCs w:val="23"/>
        </w:rPr>
        <w:t>亿户（</w:t>
      </w:r>
      <w:proofErr w:type="gramStart"/>
      <w:r w:rsidR="00460FFA" w:rsidRPr="00460FFA">
        <w:rPr>
          <w:rFonts w:ascii="Arial" w:hAnsi="Arial" w:cs="Arial" w:hint="eastAsia"/>
          <w:bCs/>
          <w:kern w:val="0"/>
          <w:sz w:val="23"/>
          <w:szCs w:val="23"/>
        </w:rPr>
        <w:t>含借记卡</w:t>
      </w:r>
      <w:proofErr w:type="gramEnd"/>
      <w:r w:rsidR="00460FFA" w:rsidRPr="00460FFA">
        <w:rPr>
          <w:rFonts w:ascii="Arial" w:hAnsi="Arial" w:cs="Arial" w:hint="eastAsia"/>
          <w:bCs/>
          <w:kern w:val="0"/>
          <w:sz w:val="23"/>
          <w:szCs w:val="23"/>
        </w:rPr>
        <w:t>和信用卡客户），较上年末增长</w:t>
      </w:r>
      <w:r w:rsidR="00460FFA" w:rsidRPr="00460FFA">
        <w:rPr>
          <w:rFonts w:ascii="Arial" w:hAnsi="Arial" w:cs="Arial" w:hint="eastAsia"/>
          <w:bCs/>
          <w:kern w:val="0"/>
          <w:sz w:val="23"/>
          <w:szCs w:val="23"/>
        </w:rPr>
        <w:t>4.57%</w:t>
      </w:r>
      <w:r w:rsidR="00460FFA" w:rsidRPr="00460FFA">
        <w:rPr>
          <w:rFonts w:ascii="Arial" w:hAnsi="Arial" w:cs="Arial" w:hint="eastAsia"/>
          <w:bCs/>
          <w:kern w:val="0"/>
          <w:sz w:val="23"/>
          <w:szCs w:val="23"/>
        </w:rPr>
        <w:t>；管理零售客户总资产（</w:t>
      </w:r>
      <w:r w:rsidR="00460FFA" w:rsidRPr="00460FFA">
        <w:rPr>
          <w:rFonts w:ascii="Arial" w:hAnsi="Arial" w:cs="Arial" w:hint="eastAsia"/>
          <w:bCs/>
          <w:kern w:val="0"/>
          <w:sz w:val="23"/>
          <w:szCs w:val="23"/>
        </w:rPr>
        <w:t>AUM</w:t>
      </w:r>
      <w:r w:rsidR="00460FFA" w:rsidRPr="00460FFA">
        <w:rPr>
          <w:rFonts w:ascii="Arial" w:hAnsi="Arial" w:cs="Arial" w:hint="eastAsia"/>
          <w:bCs/>
          <w:kern w:val="0"/>
          <w:sz w:val="23"/>
          <w:szCs w:val="23"/>
        </w:rPr>
        <w:t>）余额</w:t>
      </w:r>
      <w:r w:rsidR="00460FFA" w:rsidRPr="00460FFA">
        <w:rPr>
          <w:rFonts w:ascii="Arial" w:hAnsi="Arial" w:cs="Arial" w:hint="eastAsia"/>
          <w:bCs/>
          <w:kern w:val="0"/>
          <w:sz w:val="23"/>
          <w:szCs w:val="23"/>
        </w:rPr>
        <w:t>143,449.47</w:t>
      </w:r>
      <w:r w:rsidR="00460FFA" w:rsidRPr="00460FFA">
        <w:rPr>
          <w:rFonts w:ascii="Arial" w:hAnsi="Arial" w:cs="Arial" w:hint="eastAsia"/>
          <w:bCs/>
          <w:kern w:val="0"/>
          <w:sz w:val="23"/>
          <w:szCs w:val="23"/>
        </w:rPr>
        <w:t>亿元，较上年末增加</w:t>
      </w:r>
      <w:r w:rsidR="00460FFA" w:rsidRPr="00460FFA">
        <w:rPr>
          <w:rFonts w:ascii="Arial" w:hAnsi="Arial" w:cs="Arial" w:hint="eastAsia"/>
          <w:bCs/>
          <w:kern w:val="0"/>
          <w:sz w:val="23"/>
          <w:szCs w:val="23"/>
        </w:rPr>
        <w:t>10,238.16</w:t>
      </w:r>
      <w:r w:rsidR="00460FFA" w:rsidRPr="00460FFA">
        <w:rPr>
          <w:rFonts w:ascii="Arial" w:hAnsi="Arial" w:cs="Arial" w:hint="eastAsia"/>
          <w:bCs/>
          <w:kern w:val="0"/>
          <w:sz w:val="23"/>
          <w:szCs w:val="23"/>
        </w:rPr>
        <w:t>亿元，增幅</w:t>
      </w:r>
      <w:r w:rsidR="00460FFA" w:rsidRPr="00460FFA">
        <w:rPr>
          <w:rFonts w:ascii="Arial" w:hAnsi="Arial" w:cs="Arial" w:hint="eastAsia"/>
          <w:bCs/>
          <w:kern w:val="0"/>
          <w:sz w:val="23"/>
          <w:szCs w:val="23"/>
        </w:rPr>
        <w:t>7.69%</w:t>
      </w:r>
      <w:r w:rsidR="00460FFA" w:rsidRPr="00460FFA">
        <w:rPr>
          <w:rFonts w:ascii="Arial" w:hAnsi="Arial" w:cs="Arial" w:hint="eastAsia"/>
          <w:bCs/>
          <w:kern w:val="0"/>
          <w:sz w:val="23"/>
          <w:szCs w:val="23"/>
        </w:rPr>
        <w:t>。本公司金葵花及以上客户（指在本公司月</w:t>
      </w:r>
      <w:proofErr w:type="gramStart"/>
      <w:r w:rsidR="00460FFA" w:rsidRPr="00460FFA">
        <w:rPr>
          <w:rFonts w:ascii="Arial" w:hAnsi="Arial" w:cs="Arial" w:hint="eastAsia"/>
          <w:bCs/>
          <w:kern w:val="0"/>
          <w:sz w:val="23"/>
          <w:szCs w:val="23"/>
        </w:rPr>
        <w:t>日均全折</w:t>
      </w:r>
      <w:proofErr w:type="gramEnd"/>
      <w:r w:rsidR="00460FFA" w:rsidRPr="00460FFA">
        <w:rPr>
          <w:rFonts w:ascii="Arial" w:hAnsi="Arial" w:cs="Arial" w:hint="eastAsia"/>
          <w:bCs/>
          <w:kern w:val="0"/>
          <w:sz w:val="23"/>
          <w:szCs w:val="23"/>
        </w:rPr>
        <w:t>人民币总资产在</w:t>
      </w:r>
      <w:r w:rsidR="00460FFA" w:rsidRPr="00460FFA">
        <w:rPr>
          <w:rFonts w:ascii="Arial" w:hAnsi="Arial" w:cs="Arial" w:hint="eastAsia"/>
          <w:bCs/>
          <w:kern w:val="0"/>
          <w:sz w:val="23"/>
          <w:szCs w:val="23"/>
        </w:rPr>
        <w:t>50</w:t>
      </w:r>
      <w:r w:rsidR="00460FFA" w:rsidRPr="00460FFA">
        <w:rPr>
          <w:rFonts w:ascii="Arial" w:hAnsi="Arial" w:cs="Arial" w:hint="eastAsia"/>
          <w:bCs/>
          <w:kern w:val="0"/>
          <w:sz w:val="23"/>
          <w:szCs w:val="23"/>
        </w:rPr>
        <w:t>万元及以上的零售客户）</w:t>
      </w:r>
      <w:r w:rsidR="00460FFA" w:rsidRPr="00460FFA">
        <w:rPr>
          <w:rFonts w:ascii="Arial" w:hAnsi="Arial" w:cs="Arial" w:hint="eastAsia"/>
          <w:bCs/>
          <w:kern w:val="0"/>
          <w:sz w:val="23"/>
          <w:szCs w:val="23"/>
        </w:rPr>
        <w:t>506.57</w:t>
      </w:r>
      <w:r w:rsidR="00460FFA" w:rsidRPr="00460FFA">
        <w:rPr>
          <w:rFonts w:ascii="Arial" w:hAnsi="Arial" w:cs="Arial" w:hint="eastAsia"/>
          <w:bCs/>
          <w:kern w:val="0"/>
          <w:sz w:val="23"/>
          <w:szCs w:val="23"/>
        </w:rPr>
        <w:t>万户，较上年末增长</w:t>
      </w:r>
      <w:r w:rsidR="00460FFA" w:rsidRPr="00460FFA">
        <w:rPr>
          <w:rFonts w:ascii="Arial" w:hAnsi="Arial" w:cs="Arial" w:hint="eastAsia"/>
          <w:bCs/>
          <w:kern w:val="0"/>
          <w:sz w:val="23"/>
          <w:szCs w:val="23"/>
        </w:rPr>
        <w:t>9.16%</w:t>
      </w:r>
      <w:r w:rsidR="00460FFA" w:rsidRPr="00460FFA">
        <w:rPr>
          <w:rFonts w:ascii="Arial" w:hAnsi="Arial" w:cs="Arial" w:hint="eastAsia"/>
          <w:bCs/>
          <w:kern w:val="0"/>
          <w:sz w:val="23"/>
          <w:szCs w:val="23"/>
        </w:rPr>
        <w:t>，其中，私人银行客户（指在本公司月</w:t>
      </w:r>
      <w:proofErr w:type="gramStart"/>
      <w:r w:rsidR="00460FFA" w:rsidRPr="00460FFA">
        <w:rPr>
          <w:rFonts w:ascii="Arial" w:hAnsi="Arial" w:cs="Arial" w:hint="eastAsia"/>
          <w:bCs/>
          <w:kern w:val="0"/>
          <w:sz w:val="23"/>
          <w:szCs w:val="23"/>
        </w:rPr>
        <w:t>日均全折</w:t>
      </w:r>
      <w:proofErr w:type="gramEnd"/>
      <w:r w:rsidR="00460FFA" w:rsidRPr="00460FFA">
        <w:rPr>
          <w:rFonts w:ascii="Arial" w:hAnsi="Arial" w:cs="Arial" w:hint="eastAsia"/>
          <w:bCs/>
          <w:kern w:val="0"/>
          <w:sz w:val="23"/>
          <w:szCs w:val="23"/>
        </w:rPr>
        <w:t>人民币总资产在</w:t>
      </w:r>
      <w:r w:rsidR="00460FFA" w:rsidRPr="00460FFA">
        <w:rPr>
          <w:rFonts w:ascii="Arial" w:hAnsi="Arial" w:cs="Arial" w:hint="eastAsia"/>
          <w:bCs/>
          <w:kern w:val="0"/>
          <w:sz w:val="23"/>
          <w:szCs w:val="23"/>
        </w:rPr>
        <w:t>1,000</w:t>
      </w:r>
      <w:r w:rsidR="00460FFA" w:rsidRPr="00460FFA">
        <w:rPr>
          <w:rFonts w:ascii="Arial" w:hAnsi="Arial" w:cs="Arial" w:hint="eastAsia"/>
          <w:bCs/>
          <w:kern w:val="0"/>
          <w:sz w:val="23"/>
          <w:szCs w:val="23"/>
        </w:rPr>
        <w:t>万元及以上的零售客户）</w:t>
      </w:r>
      <w:r w:rsidR="00460FFA" w:rsidRPr="00460FFA">
        <w:rPr>
          <w:rFonts w:ascii="Arial" w:hAnsi="Arial" w:cs="Arial" w:hint="eastAsia"/>
          <w:bCs/>
          <w:kern w:val="0"/>
          <w:sz w:val="23"/>
          <w:szCs w:val="23"/>
        </w:rPr>
        <w:t>159,581</w:t>
      </w:r>
      <w:r w:rsidR="00460FFA" w:rsidRPr="00460FFA">
        <w:rPr>
          <w:rFonts w:ascii="Arial" w:hAnsi="Arial" w:cs="Arial" w:hint="eastAsia"/>
          <w:bCs/>
          <w:kern w:val="0"/>
          <w:sz w:val="23"/>
          <w:szCs w:val="23"/>
        </w:rPr>
        <w:t>户，较上年末增长</w:t>
      </w:r>
      <w:r w:rsidR="00460FFA" w:rsidRPr="00460FFA">
        <w:rPr>
          <w:rFonts w:ascii="Arial" w:hAnsi="Arial" w:cs="Arial" w:hint="eastAsia"/>
          <w:bCs/>
          <w:kern w:val="0"/>
          <w:sz w:val="23"/>
          <w:szCs w:val="23"/>
        </w:rPr>
        <w:t>7.22%</w:t>
      </w:r>
      <w:r w:rsidR="00460FFA" w:rsidRPr="00460FFA">
        <w:rPr>
          <w:rFonts w:ascii="Arial" w:hAnsi="Arial" w:cs="Arial" w:hint="eastAsia"/>
          <w:bCs/>
          <w:kern w:val="0"/>
          <w:sz w:val="23"/>
          <w:szCs w:val="23"/>
        </w:rPr>
        <w:t>。截至报告期末，本公司管理金葵花及以上客户总资产余额</w:t>
      </w:r>
      <w:r w:rsidR="00460FFA" w:rsidRPr="00460FFA">
        <w:rPr>
          <w:rFonts w:ascii="Arial" w:hAnsi="Arial" w:cs="Arial" w:hint="eastAsia"/>
          <w:bCs/>
          <w:kern w:val="0"/>
          <w:sz w:val="23"/>
          <w:szCs w:val="23"/>
        </w:rPr>
        <w:t>117,016.53</w:t>
      </w:r>
      <w:r w:rsidR="00460FFA" w:rsidRPr="00460FFA">
        <w:rPr>
          <w:rFonts w:ascii="Arial" w:hAnsi="Arial" w:cs="Arial" w:hint="eastAsia"/>
          <w:bCs/>
          <w:kern w:val="0"/>
          <w:sz w:val="23"/>
          <w:szCs w:val="23"/>
        </w:rPr>
        <w:t>亿元，较上年末增长</w:t>
      </w:r>
      <w:r w:rsidR="00460FFA" w:rsidRPr="00460FFA">
        <w:rPr>
          <w:rFonts w:ascii="Arial" w:hAnsi="Arial" w:cs="Arial" w:hint="eastAsia"/>
          <w:bCs/>
          <w:kern w:val="0"/>
          <w:sz w:val="23"/>
          <w:szCs w:val="23"/>
        </w:rPr>
        <w:t>8.15%</w:t>
      </w:r>
      <w:r w:rsidR="00460FFA" w:rsidRPr="00460FFA">
        <w:rPr>
          <w:rFonts w:ascii="Arial" w:hAnsi="Arial" w:cs="Arial" w:hint="eastAsia"/>
          <w:bCs/>
          <w:kern w:val="0"/>
          <w:sz w:val="23"/>
          <w:szCs w:val="23"/>
        </w:rPr>
        <w:t>。</w:t>
      </w:r>
    </w:p>
    <w:p w14:paraId="5417EE35" w14:textId="77777777" w:rsidR="00E91BE2" w:rsidRPr="007D2AA5" w:rsidRDefault="00E91BE2" w:rsidP="00E91BE2">
      <w:pPr>
        <w:autoSpaceDE w:val="0"/>
        <w:autoSpaceDN w:val="0"/>
        <w:adjustRightInd w:val="0"/>
        <w:rPr>
          <w:rFonts w:ascii="Arial" w:hAnsi="Arial" w:cs="Arial"/>
          <w:bCs/>
          <w:kern w:val="0"/>
          <w:sz w:val="23"/>
          <w:szCs w:val="23"/>
          <w:highlight w:val="yellow"/>
        </w:rPr>
      </w:pPr>
    </w:p>
    <w:p w14:paraId="351A528E" w14:textId="55942FFC" w:rsidR="00E91BE2" w:rsidRDefault="00460FFA" w:rsidP="00E91BE2">
      <w:pPr>
        <w:autoSpaceDE w:val="0"/>
        <w:autoSpaceDN w:val="0"/>
        <w:adjustRightInd w:val="0"/>
        <w:rPr>
          <w:rFonts w:ascii="Arial" w:hAnsi="Arial" w:cs="Arial"/>
          <w:bCs/>
          <w:kern w:val="0"/>
          <w:sz w:val="23"/>
          <w:szCs w:val="23"/>
        </w:rPr>
      </w:pPr>
      <w:r w:rsidRPr="00460FFA">
        <w:rPr>
          <w:rFonts w:ascii="Arial" w:hAnsi="Arial" w:cs="Arial" w:hint="eastAsia"/>
          <w:bCs/>
          <w:kern w:val="0"/>
          <w:sz w:val="23"/>
          <w:szCs w:val="23"/>
        </w:rPr>
        <w:t>截至报告期末，本公司子公司招银理财、招商基金、</w:t>
      </w:r>
      <w:proofErr w:type="gramStart"/>
      <w:r w:rsidRPr="00460FFA">
        <w:rPr>
          <w:rFonts w:ascii="Arial" w:hAnsi="Arial" w:cs="Arial" w:hint="eastAsia"/>
          <w:bCs/>
          <w:kern w:val="0"/>
          <w:sz w:val="23"/>
          <w:szCs w:val="23"/>
        </w:rPr>
        <w:t>招商信诺资管</w:t>
      </w:r>
      <w:proofErr w:type="gramEnd"/>
      <w:r w:rsidRPr="00460FFA">
        <w:rPr>
          <w:rFonts w:ascii="Arial" w:hAnsi="Arial" w:cs="Arial" w:hint="eastAsia"/>
          <w:bCs/>
          <w:kern w:val="0"/>
          <w:sz w:val="23"/>
          <w:szCs w:val="23"/>
        </w:rPr>
        <w:t>和招银国际</w:t>
      </w:r>
      <w:proofErr w:type="gramStart"/>
      <w:r w:rsidRPr="00460FFA">
        <w:rPr>
          <w:rFonts w:ascii="Arial" w:hAnsi="Arial" w:cs="Arial" w:hint="eastAsia"/>
          <w:bCs/>
          <w:kern w:val="0"/>
          <w:sz w:val="23"/>
          <w:szCs w:val="23"/>
        </w:rPr>
        <w:t>的资管业务</w:t>
      </w:r>
      <w:proofErr w:type="gramEnd"/>
      <w:r w:rsidRPr="00460FFA">
        <w:rPr>
          <w:rFonts w:ascii="Arial" w:hAnsi="Arial" w:cs="Arial" w:hint="eastAsia"/>
          <w:bCs/>
          <w:kern w:val="0"/>
          <w:sz w:val="23"/>
          <w:szCs w:val="23"/>
        </w:rPr>
        <w:t>总规模合计为</w:t>
      </w:r>
      <w:r w:rsidRPr="00460FFA">
        <w:rPr>
          <w:rFonts w:ascii="Arial" w:hAnsi="Arial" w:cs="Arial" w:hint="eastAsia"/>
          <w:bCs/>
          <w:kern w:val="0"/>
          <w:sz w:val="23"/>
          <w:szCs w:val="23"/>
        </w:rPr>
        <w:t>4.44</w:t>
      </w:r>
      <w:proofErr w:type="gramStart"/>
      <w:r w:rsidRPr="00460FFA">
        <w:rPr>
          <w:rFonts w:ascii="Arial" w:hAnsi="Arial" w:cs="Arial" w:hint="eastAsia"/>
          <w:bCs/>
          <w:kern w:val="0"/>
          <w:sz w:val="23"/>
          <w:szCs w:val="23"/>
        </w:rPr>
        <w:t>万亿</w:t>
      </w:r>
      <w:proofErr w:type="gramEnd"/>
      <w:r w:rsidRPr="00460FFA">
        <w:rPr>
          <w:rFonts w:ascii="Arial" w:hAnsi="Arial" w:cs="Arial" w:hint="eastAsia"/>
          <w:bCs/>
          <w:kern w:val="0"/>
          <w:sz w:val="23"/>
          <w:szCs w:val="23"/>
        </w:rPr>
        <w:t>元</w:t>
      </w:r>
      <w:r w:rsidRPr="00460FFA">
        <w:rPr>
          <w:rFonts w:ascii="Arial" w:hAnsi="Arial" w:cs="Arial" w:hint="eastAsia"/>
          <w:bCs/>
          <w:kern w:val="0"/>
          <w:sz w:val="23"/>
          <w:szCs w:val="23"/>
        </w:rPr>
        <w:t xml:space="preserve"> </w:t>
      </w:r>
      <w:r w:rsidRPr="00460FFA">
        <w:rPr>
          <w:rFonts w:ascii="Arial" w:hAnsi="Arial" w:cs="Arial" w:hint="eastAsia"/>
          <w:bCs/>
          <w:kern w:val="0"/>
          <w:sz w:val="23"/>
          <w:szCs w:val="23"/>
        </w:rPr>
        <w:t>，较上年末下降</w:t>
      </w:r>
      <w:r w:rsidRPr="00460FFA">
        <w:rPr>
          <w:rFonts w:ascii="Arial" w:hAnsi="Arial" w:cs="Arial" w:hint="eastAsia"/>
          <w:bCs/>
          <w:kern w:val="0"/>
          <w:sz w:val="23"/>
          <w:szCs w:val="23"/>
        </w:rPr>
        <w:t>0.99%</w:t>
      </w:r>
      <w:r w:rsidRPr="00460FFA">
        <w:rPr>
          <w:rFonts w:ascii="Arial" w:hAnsi="Arial" w:cs="Arial" w:hint="eastAsia"/>
          <w:bCs/>
          <w:kern w:val="0"/>
          <w:sz w:val="23"/>
          <w:szCs w:val="23"/>
        </w:rPr>
        <w:t>。其中，招银理财管理的理财产品余额</w:t>
      </w:r>
      <w:r w:rsidRPr="00460FFA">
        <w:rPr>
          <w:rFonts w:ascii="Arial" w:hAnsi="Arial" w:cs="Arial" w:hint="eastAsia"/>
          <w:bCs/>
          <w:kern w:val="0"/>
          <w:sz w:val="23"/>
          <w:szCs w:val="23"/>
        </w:rPr>
        <w:t>2.44</w:t>
      </w:r>
      <w:proofErr w:type="gramStart"/>
      <w:r w:rsidRPr="00460FFA">
        <w:rPr>
          <w:rFonts w:ascii="Arial" w:hAnsi="Arial" w:cs="Arial" w:hint="eastAsia"/>
          <w:bCs/>
          <w:kern w:val="0"/>
          <w:sz w:val="23"/>
          <w:szCs w:val="23"/>
        </w:rPr>
        <w:t>万亿</w:t>
      </w:r>
      <w:proofErr w:type="gramEnd"/>
      <w:r w:rsidRPr="00460FFA">
        <w:rPr>
          <w:rFonts w:ascii="Arial" w:hAnsi="Arial" w:cs="Arial" w:hint="eastAsia"/>
          <w:bCs/>
          <w:kern w:val="0"/>
          <w:sz w:val="23"/>
          <w:szCs w:val="23"/>
        </w:rPr>
        <w:t>元，较上年末下降</w:t>
      </w:r>
      <w:r w:rsidRPr="00460FFA">
        <w:rPr>
          <w:rFonts w:ascii="Arial" w:hAnsi="Arial" w:cs="Arial" w:hint="eastAsia"/>
          <w:bCs/>
          <w:kern w:val="0"/>
          <w:sz w:val="23"/>
          <w:szCs w:val="23"/>
        </w:rPr>
        <w:t>4.31%</w:t>
      </w:r>
      <w:r w:rsidRPr="00460FFA">
        <w:rPr>
          <w:rFonts w:ascii="Arial" w:hAnsi="Arial" w:cs="Arial" w:hint="eastAsia"/>
          <w:bCs/>
          <w:kern w:val="0"/>
          <w:sz w:val="23"/>
          <w:szCs w:val="23"/>
        </w:rPr>
        <w:t>；招商基金</w:t>
      </w:r>
      <w:proofErr w:type="gramStart"/>
      <w:r w:rsidRPr="00460FFA">
        <w:rPr>
          <w:rFonts w:ascii="Arial" w:hAnsi="Arial" w:cs="Arial" w:hint="eastAsia"/>
          <w:bCs/>
          <w:kern w:val="0"/>
          <w:sz w:val="23"/>
          <w:szCs w:val="23"/>
        </w:rPr>
        <w:t>的资管业务</w:t>
      </w:r>
      <w:proofErr w:type="gramEnd"/>
      <w:r w:rsidRPr="00460FFA">
        <w:rPr>
          <w:rFonts w:ascii="Arial" w:hAnsi="Arial" w:cs="Arial" w:hint="eastAsia"/>
          <w:bCs/>
          <w:kern w:val="0"/>
          <w:sz w:val="23"/>
          <w:szCs w:val="23"/>
        </w:rPr>
        <w:t>规模</w:t>
      </w:r>
      <w:r w:rsidRPr="00460FFA">
        <w:rPr>
          <w:rFonts w:ascii="Arial" w:hAnsi="Arial" w:cs="Arial" w:hint="eastAsia"/>
          <w:bCs/>
          <w:kern w:val="0"/>
          <w:sz w:val="23"/>
          <w:szCs w:val="23"/>
        </w:rPr>
        <w:t>1.58</w:t>
      </w:r>
      <w:proofErr w:type="gramStart"/>
      <w:r w:rsidRPr="00460FFA">
        <w:rPr>
          <w:rFonts w:ascii="Arial" w:hAnsi="Arial" w:cs="Arial" w:hint="eastAsia"/>
          <w:bCs/>
          <w:kern w:val="0"/>
          <w:sz w:val="23"/>
          <w:szCs w:val="23"/>
        </w:rPr>
        <w:t>万亿</w:t>
      </w:r>
      <w:proofErr w:type="gramEnd"/>
      <w:r w:rsidRPr="00460FFA">
        <w:rPr>
          <w:rFonts w:ascii="Arial" w:hAnsi="Arial" w:cs="Arial" w:hint="eastAsia"/>
          <w:bCs/>
          <w:kern w:val="0"/>
          <w:sz w:val="23"/>
          <w:szCs w:val="23"/>
        </w:rPr>
        <w:t>元，较上年末增长</w:t>
      </w:r>
      <w:r w:rsidRPr="00460FFA">
        <w:rPr>
          <w:rFonts w:ascii="Arial" w:hAnsi="Arial" w:cs="Arial" w:hint="eastAsia"/>
          <w:bCs/>
          <w:kern w:val="0"/>
          <w:sz w:val="23"/>
          <w:szCs w:val="23"/>
        </w:rPr>
        <w:t>1.94%</w:t>
      </w:r>
      <w:r w:rsidRPr="00460FFA">
        <w:rPr>
          <w:rFonts w:ascii="Arial" w:hAnsi="Arial" w:cs="Arial" w:hint="eastAsia"/>
          <w:bCs/>
          <w:kern w:val="0"/>
          <w:sz w:val="23"/>
          <w:szCs w:val="23"/>
        </w:rPr>
        <w:t>；</w:t>
      </w:r>
      <w:proofErr w:type="gramStart"/>
      <w:r w:rsidRPr="00460FFA">
        <w:rPr>
          <w:rFonts w:ascii="Arial" w:hAnsi="Arial" w:cs="Arial" w:hint="eastAsia"/>
          <w:bCs/>
          <w:kern w:val="0"/>
          <w:sz w:val="23"/>
          <w:szCs w:val="23"/>
        </w:rPr>
        <w:t>招商信诺资管的资管</w:t>
      </w:r>
      <w:proofErr w:type="gramEnd"/>
      <w:r w:rsidRPr="00460FFA">
        <w:rPr>
          <w:rFonts w:ascii="Arial" w:hAnsi="Arial" w:cs="Arial" w:hint="eastAsia"/>
          <w:bCs/>
          <w:kern w:val="0"/>
          <w:sz w:val="23"/>
          <w:szCs w:val="23"/>
        </w:rPr>
        <w:t>业务规模</w:t>
      </w:r>
      <w:r w:rsidRPr="00460FFA">
        <w:rPr>
          <w:rFonts w:ascii="Arial" w:hAnsi="Arial" w:cs="Arial" w:hint="eastAsia"/>
          <w:bCs/>
          <w:kern w:val="0"/>
          <w:sz w:val="23"/>
          <w:szCs w:val="23"/>
        </w:rPr>
        <w:t>2,932.16</w:t>
      </w:r>
      <w:r w:rsidRPr="00460FFA">
        <w:rPr>
          <w:rFonts w:ascii="Arial" w:hAnsi="Arial" w:cs="Arial" w:hint="eastAsia"/>
          <w:bCs/>
          <w:kern w:val="0"/>
          <w:sz w:val="23"/>
          <w:szCs w:val="23"/>
        </w:rPr>
        <w:t>亿元，较上年末增长</w:t>
      </w:r>
      <w:r w:rsidRPr="00460FFA">
        <w:rPr>
          <w:rFonts w:ascii="Arial" w:hAnsi="Arial" w:cs="Arial" w:hint="eastAsia"/>
          <w:bCs/>
          <w:kern w:val="0"/>
          <w:sz w:val="23"/>
          <w:szCs w:val="23"/>
        </w:rPr>
        <w:t>9.58%</w:t>
      </w:r>
      <w:r w:rsidRPr="00460FFA">
        <w:rPr>
          <w:rFonts w:ascii="Arial" w:hAnsi="Arial" w:cs="Arial" w:hint="eastAsia"/>
          <w:bCs/>
          <w:kern w:val="0"/>
          <w:sz w:val="23"/>
          <w:szCs w:val="23"/>
        </w:rPr>
        <w:t>；招银国际</w:t>
      </w:r>
      <w:proofErr w:type="gramStart"/>
      <w:r w:rsidRPr="00460FFA">
        <w:rPr>
          <w:rFonts w:ascii="Arial" w:hAnsi="Arial" w:cs="Arial" w:hint="eastAsia"/>
          <w:bCs/>
          <w:kern w:val="0"/>
          <w:sz w:val="23"/>
          <w:szCs w:val="23"/>
        </w:rPr>
        <w:t>的资管业务</w:t>
      </w:r>
      <w:proofErr w:type="gramEnd"/>
      <w:r w:rsidRPr="00460FFA">
        <w:rPr>
          <w:rFonts w:ascii="Arial" w:hAnsi="Arial" w:cs="Arial" w:hint="eastAsia"/>
          <w:bCs/>
          <w:kern w:val="0"/>
          <w:sz w:val="23"/>
          <w:szCs w:val="23"/>
        </w:rPr>
        <w:t>规模</w:t>
      </w:r>
      <w:r w:rsidRPr="00460FFA">
        <w:rPr>
          <w:rFonts w:ascii="Arial" w:hAnsi="Arial" w:cs="Arial" w:hint="eastAsia"/>
          <w:bCs/>
          <w:kern w:val="0"/>
          <w:sz w:val="23"/>
          <w:szCs w:val="23"/>
        </w:rPr>
        <w:t>1,236.85</w:t>
      </w:r>
      <w:r w:rsidRPr="00460FFA">
        <w:rPr>
          <w:rFonts w:ascii="Arial" w:hAnsi="Arial" w:cs="Arial" w:hint="eastAsia"/>
          <w:bCs/>
          <w:kern w:val="0"/>
          <w:sz w:val="23"/>
          <w:szCs w:val="23"/>
        </w:rPr>
        <w:t>亿元，较上年末增长</w:t>
      </w:r>
      <w:r w:rsidRPr="00460FFA">
        <w:rPr>
          <w:rFonts w:ascii="Arial" w:hAnsi="Arial" w:cs="Arial" w:hint="eastAsia"/>
          <w:bCs/>
          <w:kern w:val="0"/>
          <w:sz w:val="23"/>
          <w:szCs w:val="23"/>
        </w:rPr>
        <w:t>9.01%</w:t>
      </w:r>
      <w:r w:rsidRPr="00460FFA">
        <w:rPr>
          <w:rFonts w:ascii="Arial" w:hAnsi="Arial" w:cs="Arial" w:hint="eastAsia"/>
          <w:bCs/>
          <w:kern w:val="0"/>
          <w:sz w:val="23"/>
          <w:szCs w:val="23"/>
        </w:rPr>
        <w:t>。</w:t>
      </w:r>
    </w:p>
    <w:p w14:paraId="68393CBF" w14:textId="09AEC13A" w:rsidR="007E30CD" w:rsidRDefault="00BC434B" w:rsidP="00064147">
      <w:pPr>
        <w:tabs>
          <w:tab w:val="left" w:pos="3640"/>
          <w:tab w:val="left" w:pos="4289"/>
          <w:tab w:val="center" w:pos="4936"/>
        </w:tabs>
        <w:ind w:firstLineChars="200" w:firstLine="460"/>
        <w:jc w:val="left"/>
        <w:rPr>
          <w:rFonts w:ascii="Arial" w:hAnsi="Arial" w:cs="Arial"/>
          <w:sz w:val="23"/>
          <w:szCs w:val="23"/>
        </w:rPr>
      </w:pPr>
      <w:r w:rsidRPr="00FF0945">
        <w:rPr>
          <w:rFonts w:ascii="Arial" w:hAnsi="Arial" w:cs="Arial"/>
          <w:sz w:val="23"/>
          <w:szCs w:val="23"/>
        </w:rPr>
        <w:tab/>
      </w:r>
      <w:r w:rsidRPr="00FF0945">
        <w:rPr>
          <w:rFonts w:ascii="Arial" w:hAnsi="Arial" w:cs="Arial"/>
          <w:sz w:val="23"/>
          <w:szCs w:val="23"/>
        </w:rPr>
        <w:tab/>
      </w:r>
      <w:r w:rsidRPr="00FF0945">
        <w:rPr>
          <w:rFonts w:ascii="Arial" w:hAnsi="Arial" w:cs="Arial"/>
          <w:sz w:val="23"/>
          <w:szCs w:val="23"/>
        </w:rPr>
        <w:t>（完）</w:t>
      </w:r>
    </w:p>
    <w:p w14:paraId="76DC4E84" w14:textId="10379328" w:rsidR="00721F0E" w:rsidRDefault="00721F0E" w:rsidP="00F54151">
      <w:pPr>
        <w:tabs>
          <w:tab w:val="left" w:pos="3640"/>
          <w:tab w:val="left" w:pos="4289"/>
          <w:tab w:val="center" w:pos="4936"/>
        </w:tabs>
        <w:ind w:firstLineChars="200" w:firstLine="462"/>
        <w:jc w:val="left"/>
        <w:rPr>
          <w:rFonts w:ascii="Arial" w:hAnsi="Arial" w:cs="Arial"/>
          <w:b/>
          <w:color w:val="000000"/>
          <w:sz w:val="23"/>
          <w:szCs w:val="23"/>
        </w:rPr>
      </w:pPr>
    </w:p>
    <w:p w14:paraId="4BD259B0" w14:textId="77777777" w:rsidR="00865B2B" w:rsidRPr="00FF0945" w:rsidRDefault="00865B2B" w:rsidP="00F54151">
      <w:pPr>
        <w:tabs>
          <w:tab w:val="left" w:pos="3640"/>
          <w:tab w:val="left" w:pos="4289"/>
          <w:tab w:val="center" w:pos="4936"/>
        </w:tabs>
        <w:ind w:firstLineChars="200" w:firstLine="462"/>
        <w:jc w:val="left"/>
        <w:rPr>
          <w:rFonts w:ascii="Arial" w:hAnsi="Arial" w:cs="Arial"/>
          <w:b/>
          <w:color w:val="000000"/>
          <w:sz w:val="23"/>
          <w:szCs w:val="23"/>
        </w:rPr>
      </w:pPr>
    </w:p>
    <w:p w14:paraId="7CBD03B4" w14:textId="77777777" w:rsidR="00721F0E" w:rsidRPr="00FF0945" w:rsidRDefault="00721F0E" w:rsidP="00721F0E">
      <w:pPr>
        <w:widowControl/>
        <w:spacing w:line="320" w:lineRule="exact"/>
        <w:rPr>
          <w:rFonts w:ascii="Arial" w:hAnsi="Arial" w:cs="Arial"/>
          <w:b/>
          <w:color w:val="000000"/>
          <w:sz w:val="23"/>
          <w:szCs w:val="23"/>
        </w:rPr>
      </w:pPr>
      <w:r w:rsidRPr="00FF0945">
        <w:rPr>
          <w:rFonts w:ascii="Arial" w:hAnsi="Arial" w:cs="Arial"/>
          <w:b/>
          <w:color w:val="000000"/>
          <w:sz w:val="23"/>
          <w:szCs w:val="23"/>
        </w:rPr>
        <w:t>投资者查询</w:t>
      </w:r>
    </w:p>
    <w:p w14:paraId="7A440400" w14:textId="77777777" w:rsidR="00721F0E" w:rsidRPr="00FF0945" w:rsidRDefault="00721F0E" w:rsidP="00721F0E">
      <w:pPr>
        <w:widowControl/>
        <w:spacing w:line="320" w:lineRule="exact"/>
        <w:rPr>
          <w:rFonts w:ascii="Arial" w:hAnsi="Arial" w:cs="Arial"/>
          <w:color w:val="000000"/>
          <w:sz w:val="23"/>
          <w:szCs w:val="23"/>
        </w:rPr>
      </w:pPr>
      <w:r w:rsidRPr="00FF0945">
        <w:rPr>
          <w:rFonts w:ascii="Arial" w:hAnsi="Arial" w:cs="Arial"/>
          <w:color w:val="000000"/>
          <w:sz w:val="23"/>
          <w:szCs w:val="23"/>
        </w:rPr>
        <w:t>招商银行董事会办公室</w:t>
      </w:r>
      <w:r w:rsidRPr="00FF0945">
        <w:rPr>
          <w:rFonts w:ascii="Arial" w:hAnsi="Arial" w:cs="Arial"/>
          <w:color w:val="000000"/>
          <w:sz w:val="23"/>
          <w:szCs w:val="23"/>
        </w:rPr>
        <w:t xml:space="preserve"> </w:t>
      </w:r>
      <w:r w:rsidRPr="00FF0945">
        <w:rPr>
          <w:rFonts w:ascii="Arial" w:hAnsi="Arial" w:cs="Arial"/>
          <w:color w:val="000000"/>
          <w:sz w:val="23"/>
          <w:szCs w:val="23"/>
        </w:rPr>
        <w:t>投资者关系管理团队</w:t>
      </w:r>
    </w:p>
    <w:p w14:paraId="1E5A7EB2" w14:textId="77777777" w:rsidR="00721F0E" w:rsidRPr="00FF0945" w:rsidRDefault="00721F0E" w:rsidP="00721F0E">
      <w:pPr>
        <w:widowControl/>
        <w:spacing w:line="320" w:lineRule="exact"/>
        <w:rPr>
          <w:rFonts w:ascii="Arial" w:hAnsi="Arial" w:cs="Arial"/>
          <w:color w:val="000000"/>
          <w:sz w:val="23"/>
          <w:szCs w:val="23"/>
        </w:rPr>
      </w:pPr>
      <w:r w:rsidRPr="00FF0945">
        <w:rPr>
          <w:rFonts w:ascii="Arial" w:hAnsi="Arial" w:cs="Arial"/>
          <w:color w:val="000000"/>
          <w:sz w:val="23"/>
          <w:szCs w:val="23"/>
        </w:rPr>
        <w:t>电话：（</w:t>
      </w:r>
      <w:r w:rsidRPr="00FF0945">
        <w:rPr>
          <w:rFonts w:ascii="Arial" w:hAnsi="Arial" w:cs="Arial"/>
          <w:color w:val="000000"/>
          <w:sz w:val="23"/>
          <w:szCs w:val="23"/>
        </w:rPr>
        <w:t>86</w:t>
      </w:r>
      <w:r w:rsidRPr="00FF0945">
        <w:rPr>
          <w:rFonts w:ascii="Arial" w:hAnsi="Arial" w:cs="Arial"/>
          <w:color w:val="000000"/>
          <w:sz w:val="23"/>
          <w:szCs w:val="23"/>
        </w:rPr>
        <w:t>）</w:t>
      </w:r>
      <w:r w:rsidRPr="00FF0945">
        <w:rPr>
          <w:rFonts w:ascii="Arial" w:hAnsi="Arial" w:cs="Arial"/>
          <w:color w:val="000000"/>
          <w:sz w:val="23"/>
          <w:szCs w:val="23"/>
        </w:rPr>
        <w:t>755 2269 9082</w:t>
      </w:r>
    </w:p>
    <w:p w14:paraId="10BB2E89" w14:textId="77777777" w:rsidR="00721F0E" w:rsidRPr="00FF0945" w:rsidRDefault="00721F0E" w:rsidP="00721F0E">
      <w:pPr>
        <w:widowControl/>
        <w:spacing w:line="320" w:lineRule="exact"/>
        <w:rPr>
          <w:rFonts w:ascii="Arial" w:hAnsi="Arial" w:cs="Arial"/>
          <w:color w:val="000000"/>
          <w:sz w:val="23"/>
          <w:szCs w:val="23"/>
        </w:rPr>
      </w:pPr>
      <w:r w:rsidRPr="00FF0945">
        <w:rPr>
          <w:rFonts w:ascii="Arial" w:hAnsi="Arial" w:cs="Arial"/>
          <w:color w:val="000000"/>
          <w:sz w:val="23"/>
          <w:szCs w:val="23"/>
        </w:rPr>
        <w:t>传真：（</w:t>
      </w:r>
      <w:r w:rsidRPr="00FF0945">
        <w:rPr>
          <w:rFonts w:ascii="Arial" w:hAnsi="Arial" w:cs="Arial"/>
          <w:color w:val="000000"/>
          <w:sz w:val="23"/>
          <w:szCs w:val="23"/>
        </w:rPr>
        <w:t>86</w:t>
      </w:r>
      <w:r w:rsidRPr="00FF0945">
        <w:rPr>
          <w:rFonts w:ascii="Arial" w:hAnsi="Arial" w:cs="Arial"/>
          <w:color w:val="000000"/>
          <w:sz w:val="23"/>
          <w:szCs w:val="23"/>
        </w:rPr>
        <w:t>）</w:t>
      </w:r>
      <w:r w:rsidRPr="00FF0945">
        <w:rPr>
          <w:rFonts w:ascii="Arial" w:hAnsi="Arial" w:cs="Arial"/>
          <w:color w:val="000000"/>
          <w:sz w:val="23"/>
          <w:szCs w:val="23"/>
        </w:rPr>
        <w:t>755 8319 5109</w:t>
      </w:r>
    </w:p>
    <w:p w14:paraId="77F4F643" w14:textId="1ED8E2C6" w:rsidR="00721F0E" w:rsidRPr="00FF0945" w:rsidRDefault="00721F0E" w:rsidP="00721F0E">
      <w:pPr>
        <w:widowControl/>
        <w:spacing w:line="320" w:lineRule="exact"/>
        <w:rPr>
          <w:rFonts w:ascii="Arial" w:hAnsi="Arial" w:cs="Arial"/>
          <w:color w:val="000000"/>
          <w:sz w:val="23"/>
          <w:szCs w:val="23"/>
        </w:rPr>
      </w:pPr>
      <w:r w:rsidRPr="00FF0945">
        <w:rPr>
          <w:rFonts w:ascii="Arial" w:hAnsi="Arial" w:cs="Arial"/>
          <w:color w:val="000000"/>
          <w:sz w:val="23"/>
          <w:szCs w:val="23"/>
        </w:rPr>
        <w:t>电邮：</w:t>
      </w:r>
      <w:r w:rsidR="008159A2">
        <w:rPr>
          <w:rFonts w:ascii="Arial" w:hAnsi="Arial" w:cs="Arial" w:hint="eastAsia"/>
          <w:color w:val="000000"/>
          <w:kern w:val="0"/>
          <w:sz w:val="22"/>
          <w:szCs w:val="22"/>
        </w:rPr>
        <w:t>cmb</w:t>
      </w:r>
      <w:r w:rsidRPr="00FF0945">
        <w:rPr>
          <w:rFonts w:ascii="Arial" w:hAnsi="Arial" w:cs="Arial"/>
          <w:color w:val="000000"/>
          <w:kern w:val="0"/>
          <w:sz w:val="22"/>
          <w:szCs w:val="22"/>
        </w:rPr>
        <w:t>@cmbchina.com</w:t>
      </w:r>
    </w:p>
    <w:p w14:paraId="0B9866E6" w14:textId="77777777" w:rsidR="00721F0E" w:rsidRPr="00FF0945" w:rsidRDefault="00721F0E" w:rsidP="00721F0E">
      <w:pPr>
        <w:widowControl/>
        <w:spacing w:line="320" w:lineRule="exact"/>
        <w:rPr>
          <w:rFonts w:ascii="Arial" w:hAnsi="Arial" w:cs="Arial"/>
          <w:color w:val="000000"/>
          <w:sz w:val="23"/>
          <w:szCs w:val="23"/>
        </w:rPr>
      </w:pPr>
    </w:p>
    <w:p w14:paraId="70B03116" w14:textId="77777777" w:rsidR="00721F0E" w:rsidRPr="00FF0945" w:rsidRDefault="00721F0E" w:rsidP="00721F0E">
      <w:pPr>
        <w:widowControl/>
        <w:spacing w:line="320" w:lineRule="exact"/>
        <w:rPr>
          <w:rFonts w:ascii="Arial" w:hAnsi="Arial" w:cs="Arial"/>
          <w:color w:val="000000"/>
          <w:sz w:val="23"/>
          <w:szCs w:val="23"/>
        </w:rPr>
      </w:pPr>
      <w:r w:rsidRPr="00FF0945">
        <w:rPr>
          <w:rFonts w:ascii="Arial" w:hAnsi="Arial" w:cs="Arial"/>
          <w:b/>
          <w:color w:val="000000"/>
          <w:sz w:val="23"/>
          <w:szCs w:val="23"/>
        </w:rPr>
        <w:t>媒体查询</w:t>
      </w:r>
    </w:p>
    <w:p w14:paraId="3258074A" w14:textId="77777777" w:rsidR="00721F0E" w:rsidRPr="00FF0945" w:rsidRDefault="00721F0E" w:rsidP="00721F0E">
      <w:pPr>
        <w:spacing w:line="320" w:lineRule="exact"/>
        <w:rPr>
          <w:rFonts w:ascii="Arial" w:hAnsi="Arial" w:cs="Arial"/>
          <w:color w:val="000000"/>
          <w:sz w:val="23"/>
          <w:szCs w:val="23"/>
        </w:rPr>
      </w:pPr>
      <w:r w:rsidRPr="00FF0945">
        <w:rPr>
          <w:rFonts w:ascii="Arial" w:hAnsi="Arial" w:cs="Arial"/>
          <w:color w:val="000000"/>
          <w:sz w:val="23"/>
          <w:szCs w:val="23"/>
        </w:rPr>
        <w:t>王明月</w:t>
      </w:r>
    </w:p>
    <w:p w14:paraId="761C63BE" w14:textId="77777777" w:rsidR="00721F0E" w:rsidRPr="00FF0945" w:rsidRDefault="00721F0E" w:rsidP="00721F0E">
      <w:pPr>
        <w:spacing w:line="320" w:lineRule="exact"/>
        <w:rPr>
          <w:rFonts w:ascii="Arial" w:hAnsi="Arial" w:cs="Arial"/>
          <w:color w:val="000000"/>
          <w:sz w:val="23"/>
          <w:szCs w:val="23"/>
        </w:rPr>
      </w:pPr>
      <w:proofErr w:type="gramStart"/>
      <w:r w:rsidRPr="00FF0945">
        <w:rPr>
          <w:rFonts w:ascii="Arial" w:hAnsi="Arial" w:cs="Arial"/>
          <w:color w:val="000000"/>
          <w:sz w:val="23"/>
          <w:szCs w:val="23"/>
        </w:rPr>
        <w:t>汇思讯中国</w:t>
      </w:r>
      <w:proofErr w:type="gramEnd"/>
      <w:r w:rsidRPr="00FF0945">
        <w:rPr>
          <w:rFonts w:ascii="Arial" w:hAnsi="Arial" w:cs="Arial"/>
          <w:color w:val="000000"/>
          <w:sz w:val="23"/>
          <w:szCs w:val="23"/>
        </w:rPr>
        <w:t>有限公司</w:t>
      </w:r>
    </w:p>
    <w:p w14:paraId="3A2B6344" w14:textId="77777777" w:rsidR="00721F0E" w:rsidRPr="00FF0945" w:rsidRDefault="00721F0E" w:rsidP="00721F0E">
      <w:pPr>
        <w:spacing w:line="320" w:lineRule="exact"/>
        <w:rPr>
          <w:rFonts w:ascii="Arial" w:hAnsi="Arial" w:cs="Arial"/>
          <w:color w:val="000000"/>
          <w:sz w:val="23"/>
          <w:szCs w:val="23"/>
        </w:rPr>
      </w:pPr>
      <w:r w:rsidRPr="00FF0945">
        <w:rPr>
          <w:rFonts w:ascii="Arial" w:hAnsi="Arial" w:cs="Arial"/>
          <w:color w:val="000000"/>
          <w:sz w:val="23"/>
          <w:szCs w:val="23"/>
        </w:rPr>
        <w:t>电话：（</w:t>
      </w:r>
      <w:r w:rsidRPr="00FF0945">
        <w:rPr>
          <w:rFonts w:ascii="Arial" w:hAnsi="Arial" w:cs="Arial"/>
          <w:color w:val="000000"/>
          <w:sz w:val="23"/>
          <w:szCs w:val="23"/>
        </w:rPr>
        <w:t>852</w:t>
      </w:r>
      <w:r w:rsidRPr="00FF0945">
        <w:rPr>
          <w:rFonts w:ascii="Arial" w:hAnsi="Arial" w:cs="Arial"/>
          <w:color w:val="000000"/>
          <w:sz w:val="23"/>
          <w:szCs w:val="23"/>
        </w:rPr>
        <w:t>）</w:t>
      </w:r>
      <w:r w:rsidRPr="00FF0945">
        <w:rPr>
          <w:rFonts w:ascii="Arial" w:hAnsi="Arial" w:cs="Arial"/>
          <w:color w:val="000000"/>
          <w:sz w:val="23"/>
          <w:szCs w:val="23"/>
        </w:rPr>
        <w:t>2232 3978</w:t>
      </w:r>
    </w:p>
    <w:p w14:paraId="2D8BE944" w14:textId="77777777" w:rsidR="00721F0E" w:rsidRPr="00FF0945" w:rsidRDefault="00721F0E" w:rsidP="00721F0E">
      <w:pPr>
        <w:spacing w:line="320" w:lineRule="exact"/>
        <w:rPr>
          <w:rFonts w:ascii="Arial" w:hAnsi="Arial" w:cs="Arial"/>
          <w:color w:val="000000"/>
          <w:sz w:val="23"/>
          <w:szCs w:val="23"/>
        </w:rPr>
      </w:pPr>
      <w:r w:rsidRPr="00FF0945">
        <w:rPr>
          <w:rFonts w:ascii="Arial" w:hAnsi="Arial" w:cs="Arial"/>
          <w:color w:val="000000"/>
          <w:sz w:val="23"/>
          <w:szCs w:val="23"/>
        </w:rPr>
        <w:t>传真：（</w:t>
      </w:r>
      <w:r w:rsidRPr="00FF0945">
        <w:rPr>
          <w:rFonts w:ascii="Arial" w:hAnsi="Arial" w:cs="Arial"/>
          <w:color w:val="000000"/>
          <w:sz w:val="23"/>
          <w:szCs w:val="23"/>
        </w:rPr>
        <w:t>852</w:t>
      </w:r>
      <w:r w:rsidRPr="00FF0945">
        <w:rPr>
          <w:rFonts w:ascii="Arial" w:hAnsi="Arial" w:cs="Arial"/>
          <w:color w:val="000000"/>
          <w:sz w:val="23"/>
          <w:szCs w:val="23"/>
        </w:rPr>
        <w:t>）</w:t>
      </w:r>
      <w:r w:rsidRPr="00FF0945">
        <w:rPr>
          <w:rFonts w:ascii="Arial" w:hAnsi="Arial" w:cs="Arial"/>
          <w:color w:val="000000"/>
          <w:sz w:val="23"/>
          <w:szCs w:val="23"/>
        </w:rPr>
        <w:t>2117 0869</w:t>
      </w:r>
    </w:p>
    <w:p w14:paraId="427C5D70" w14:textId="3F152B24" w:rsidR="00BC434B" w:rsidRPr="00FF0945" w:rsidRDefault="00721F0E" w:rsidP="0053640C">
      <w:pPr>
        <w:widowControl/>
        <w:spacing w:line="320" w:lineRule="exact"/>
      </w:pPr>
      <w:r w:rsidRPr="00FF0945">
        <w:rPr>
          <w:rFonts w:ascii="Arial" w:hAnsi="Arial" w:cs="Arial"/>
          <w:color w:val="000000"/>
          <w:sz w:val="23"/>
          <w:szCs w:val="23"/>
        </w:rPr>
        <w:t>电邮：</w:t>
      </w:r>
      <w:r w:rsidR="0003184F">
        <w:rPr>
          <w:rFonts w:ascii="Arial" w:hAnsi="Arial" w:cs="Arial"/>
          <w:sz w:val="23"/>
          <w:szCs w:val="23"/>
        </w:rPr>
        <w:t>vivian.wang</w:t>
      </w:r>
      <w:r w:rsidRPr="00FF0945">
        <w:rPr>
          <w:rFonts w:ascii="Arial" w:hAnsi="Arial" w:cs="Arial"/>
          <w:sz w:val="23"/>
          <w:szCs w:val="23"/>
        </w:rPr>
        <w:t>@</w:t>
      </w:r>
      <w:r w:rsidR="0003184F">
        <w:rPr>
          <w:rFonts w:ascii="Arial" w:hAnsi="Arial" w:cs="Arial"/>
          <w:sz w:val="23"/>
          <w:szCs w:val="23"/>
        </w:rPr>
        <w:t>c</w:t>
      </w:r>
      <w:r w:rsidRPr="00FF0945">
        <w:rPr>
          <w:rFonts w:ascii="Arial" w:hAnsi="Arial" w:cs="Arial"/>
          <w:sz w:val="23"/>
          <w:szCs w:val="23"/>
        </w:rPr>
        <w:t>hristensen</w:t>
      </w:r>
      <w:r w:rsidR="0003184F">
        <w:rPr>
          <w:rFonts w:ascii="Arial" w:hAnsi="Arial" w:cs="Arial"/>
          <w:sz w:val="23"/>
          <w:szCs w:val="23"/>
        </w:rPr>
        <w:t>comms</w:t>
      </w:r>
      <w:r w:rsidRPr="00FF0945">
        <w:rPr>
          <w:rFonts w:ascii="Arial" w:hAnsi="Arial" w:cs="Arial"/>
          <w:sz w:val="23"/>
          <w:szCs w:val="23"/>
        </w:rPr>
        <w:t>.com</w:t>
      </w:r>
    </w:p>
    <w:sectPr w:rsidR="00BC434B" w:rsidRPr="00FF0945" w:rsidSect="007713E0">
      <w:headerReference w:type="default" r:id="rId8"/>
      <w:footerReference w:type="default" r:id="rId9"/>
      <w:pgSz w:w="11906" w:h="16838"/>
      <w:pgMar w:top="1418" w:right="1247" w:bottom="851" w:left="1247" w:header="851" w:footer="39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B84EF" w14:textId="77777777" w:rsidR="007301DF" w:rsidRDefault="007301DF">
      <w:r>
        <w:separator/>
      </w:r>
    </w:p>
  </w:endnote>
  <w:endnote w:type="continuationSeparator" w:id="0">
    <w:p w14:paraId="2D3D7235" w14:textId="77777777" w:rsidR="007301DF" w:rsidRDefault="0073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华文楷体">
    <w:altName w:val="STKaiti"/>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B9ABA" w14:textId="77777777" w:rsidR="00BC434B" w:rsidRDefault="00BC434B">
    <w:pPr>
      <w:pStyle w:val="a9"/>
      <w:jc w:val="center"/>
    </w:pPr>
    <w:r>
      <w:fldChar w:fldCharType="begin"/>
    </w:r>
    <w:r>
      <w:instrText xml:space="preserve"> PAGE   \* MERGEFORMAT </w:instrText>
    </w:r>
    <w:r>
      <w:fldChar w:fldCharType="separate"/>
    </w:r>
    <w:r w:rsidR="00AD566B" w:rsidRPr="00AD566B">
      <w:rPr>
        <w:rFonts w:eastAsia="PMingLiU"/>
        <w:noProof/>
        <w:lang w:val="zh-HK" w:eastAsia="zh-TW"/>
      </w:rPr>
      <w:t>3</w:t>
    </w:r>
    <w:r>
      <w:fldChar w:fldCharType="end"/>
    </w:r>
  </w:p>
  <w:p w14:paraId="637B7E73" w14:textId="77777777" w:rsidR="00BC434B" w:rsidRDefault="00BC434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09007" w14:textId="77777777" w:rsidR="007301DF" w:rsidRDefault="007301DF">
      <w:r>
        <w:separator/>
      </w:r>
    </w:p>
  </w:footnote>
  <w:footnote w:type="continuationSeparator" w:id="0">
    <w:p w14:paraId="63E068E8" w14:textId="77777777" w:rsidR="007301DF" w:rsidRDefault="007301DF">
      <w:r>
        <w:continuationSeparator/>
      </w:r>
    </w:p>
  </w:footnote>
  <w:footnote w:id="1">
    <w:p w14:paraId="436BF159" w14:textId="77777777" w:rsidR="00CE2374" w:rsidRPr="00D875BC" w:rsidRDefault="00CE2374">
      <w:pPr>
        <w:pStyle w:val="ab"/>
        <w:rPr>
          <w:rFonts w:ascii="Arial" w:eastAsia="宋体" w:hAnsi="Arial"/>
          <w:lang w:eastAsia="zh-CN"/>
        </w:rPr>
      </w:pPr>
      <w:r w:rsidRPr="00D875BC">
        <w:rPr>
          <w:rStyle w:val="af"/>
          <w:rFonts w:ascii="Arial" w:eastAsia="宋体" w:hAnsi="Arial"/>
        </w:rPr>
        <w:footnoteRef/>
      </w:r>
      <w:r w:rsidRPr="00D875BC">
        <w:rPr>
          <w:rFonts w:ascii="Arial" w:eastAsia="宋体" w:hAnsi="Arial"/>
          <w:lang w:eastAsia="zh-CN"/>
        </w:rPr>
        <w:t xml:space="preserve"> </w:t>
      </w:r>
      <w:r w:rsidR="003E61FE" w:rsidRPr="00D875BC">
        <w:rPr>
          <w:rFonts w:ascii="Arial" w:eastAsia="宋体" w:hAnsi="Arial" w:hint="eastAsia"/>
          <w:lang w:eastAsia="zh-CN"/>
        </w:rPr>
        <w:t>资产管理手续费及佣金收入主要包括子公司招商基金、招银国际、招银理财和</w:t>
      </w:r>
      <w:proofErr w:type="gramStart"/>
      <w:r w:rsidR="003E61FE" w:rsidRPr="00D875BC">
        <w:rPr>
          <w:rFonts w:ascii="Arial" w:eastAsia="宋体" w:hAnsi="Arial" w:hint="eastAsia"/>
          <w:lang w:eastAsia="zh-CN"/>
        </w:rPr>
        <w:t>招商信诺资管发行</w:t>
      </w:r>
      <w:proofErr w:type="gramEnd"/>
      <w:r w:rsidR="003E61FE" w:rsidRPr="00D875BC">
        <w:rPr>
          <w:rFonts w:ascii="Arial" w:eastAsia="宋体" w:hAnsi="Arial" w:hint="eastAsia"/>
          <w:lang w:eastAsia="zh-CN"/>
        </w:rPr>
        <w:t>和管理基金、理财、</w:t>
      </w:r>
      <w:proofErr w:type="gramStart"/>
      <w:r w:rsidR="003E61FE" w:rsidRPr="00D875BC">
        <w:rPr>
          <w:rFonts w:ascii="Arial" w:eastAsia="宋体" w:hAnsi="Arial" w:hint="eastAsia"/>
          <w:lang w:eastAsia="zh-CN"/>
        </w:rPr>
        <w:t>资管计划</w:t>
      </w:r>
      <w:proofErr w:type="gramEnd"/>
      <w:r w:rsidR="003E61FE" w:rsidRPr="00D875BC">
        <w:rPr>
          <w:rFonts w:ascii="Arial" w:eastAsia="宋体" w:hAnsi="Arial" w:hint="eastAsia"/>
          <w:lang w:eastAsia="zh-CN"/>
        </w:rPr>
        <w:t>等各</w:t>
      </w:r>
      <w:proofErr w:type="gramStart"/>
      <w:r w:rsidR="003E61FE" w:rsidRPr="00D875BC">
        <w:rPr>
          <w:rFonts w:ascii="Arial" w:eastAsia="宋体" w:hAnsi="Arial" w:hint="eastAsia"/>
          <w:lang w:eastAsia="zh-CN"/>
        </w:rPr>
        <w:t>类资管</w:t>
      </w:r>
      <w:proofErr w:type="gramEnd"/>
      <w:r w:rsidR="003E61FE" w:rsidRPr="00D875BC">
        <w:rPr>
          <w:rFonts w:ascii="Arial" w:eastAsia="宋体" w:hAnsi="Arial" w:hint="eastAsia"/>
          <w:lang w:eastAsia="zh-CN"/>
        </w:rPr>
        <w:t>产品所获取的收入。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32049" w14:textId="1DCA771D" w:rsidR="00BC434B" w:rsidRDefault="0053640C">
    <w:pPr>
      <w:pStyle w:val="af3"/>
      <w:pBdr>
        <w:top w:val="none" w:sz="0" w:space="0" w:color="auto"/>
      </w:pBdr>
      <w:wordWrap w:val="0"/>
      <w:jc w:val="right"/>
      <w:rPr>
        <w:rFonts w:ascii="Calibri" w:hAnsi="Calibri"/>
      </w:rPr>
    </w:pPr>
    <w:r>
      <w:rPr>
        <w:rFonts w:ascii="Calibri" w:hAnsi="Calibri"/>
        <w:noProof/>
      </w:rPr>
      <mc:AlternateContent>
        <mc:Choice Requires="wps">
          <w:drawing>
            <wp:anchor distT="0" distB="0" distL="114300" distR="114300" simplePos="0" relativeHeight="251657216" behindDoc="0" locked="0" layoutInCell="1" allowOverlap="1" wp14:anchorId="5E30A2FD" wp14:editId="2EA205B4">
              <wp:simplePos x="0" y="0"/>
              <wp:positionH relativeFrom="column">
                <wp:posOffset>-814705</wp:posOffset>
              </wp:positionH>
              <wp:positionV relativeFrom="paragraph">
                <wp:posOffset>145415</wp:posOffset>
              </wp:positionV>
              <wp:extent cx="7581900" cy="224790"/>
              <wp:effectExtent l="5715" t="0" r="3810" b="3810"/>
              <wp:wrapNone/>
              <wp:docPr id="1650003160" name="自选图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7581900" cy="224790"/>
                      </a:xfrm>
                      <a:prstGeom prst="roundRect">
                        <a:avLst>
                          <a:gd name="adj" fmla="val 0"/>
                        </a:avLst>
                      </a:prstGeom>
                      <a:gradFill rotWithShape="1">
                        <a:gsLst>
                          <a:gs pos="0">
                            <a:srgbClr val="FF0000">
                              <a:alpha val="92000"/>
                            </a:srgbClr>
                          </a:gs>
                          <a:gs pos="100000">
                            <a:srgbClr val="FFFFFF"/>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768117A" id="自选图形 1" o:spid="_x0000_s1026" style="position:absolute;margin-left:-64.15pt;margin-top:11.45pt;width:597pt;height:17.7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PjVwIAAKQEAAAOAAAAZHJzL2Uyb0RvYy54bWysVE1v2zAMvQ/YfxB0X+0E6doYdYoiRbYB&#10;3QfWfZwVSba1yaJGKXHaXz9KjrNi22mYD4IoiY/ke6Svrg+9ZXuNwYCr+eys5Ew7Ccq4tuafP21e&#10;XHIWonBKWHC65g868OvV82dXg6/0HDqwSiMjEBeqwde8i9FXRRFkp3sRzsBrR5cNYC8imdgWCsVA&#10;6L0t5mX5shgAlUeQOgQ6vR0v+SrjN42W8X3TBB2ZrTnlFvOKed2mtVhdiapF4Tsjj2mIf8iiF8ZR&#10;0BPUrYiC7dD8AdUbiRCgiWcS+gKaxkida6BqZuVv1dx3wutcC5ET/Imm8P9g5bv9vf+AKfXg70B+&#10;D8zBuhOu1TeIMHRaKAo3S0QVgw/VySEZgVzZdngLiqQVuwiZg0ODPWus8a+TY959SbsUhCpmh0z/&#10;w4l+fYhM0uHF+eVsWZJKku7m88XFMutTiCohJm+PIb7S0LO0qTnCzqmPpHGGFvu7ELMGijnRp4zU&#10;NwrfW1J0Lyyb0I4PCXfCy14o1MZYyxDiVxO7TP6Udhsm7MA8ECFlDhmw3a4tMkKv+WZT0jemYn0n&#10;xtMldekU+PicmKRGCTnoEW6WXP+KuaEvkz+6ZM9jLtY4RkLV/HwxurMghdVqkit3Y64phbIurQ5S&#10;jUnM8SRrmmRMExOqLagHkpQoyBrRYNOmA3zkbKAhqXn4sROoObNvHLGwnC0WaaqysTi/mJOBT2+2&#10;T2+EkwRVcxmRU+LJWMdxFnceTdtRrLFLHNxQMzUmTl035nVsQRqFkcJxbNOsPbXzq18/l9VPAAAA&#10;//8DAFBLAwQUAAYACAAAACEAJab3ZOEAAAALAQAADwAAAGRycy9kb3ducmV2LnhtbEyPy26DMBBF&#10;95X6D9ZU6qZKTEBJCWWIUKt8QJKqj50DU6C1xwg7gf59nVW6HN2je8/km8locabBdZYRFvMIBHFl&#10;644bhNfDdpaCcF5xrbRlQvglB5vi9iZXWW1H3tF57xsRSthlCqH1vs+kdFVLRrm57YlD9mUHo3w4&#10;h0bWgxpDudEyjqKVNKrjsNCqnp5bqn72J4PwWa7te5puv98O5cdONToZH14SxPu7qXwC4WnyVxgu&#10;+kEdiuB0tCeundAIs0WcJoFFiOM1iAsRrZaPII4Iy5DIIpf/fyj+AAAA//8DAFBLAQItABQABgAI&#10;AAAAIQC2gziS/gAAAOEBAAATAAAAAAAAAAAAAAAAAAAAAABbQ29udGVudF9UeXBlc10ueG1sUEsB&#10;Ai0AFAAGAAgAAAAhADj9If/WAAAAlAEAAAsAAAAAAAAAAAAAAAAALwEAAF9yZWxzLy5yZWxzUEsB&#10;Ai0AFAAGAAgAAAAhAKhFc+NXAgAApAQAAA4AAAAAAAAAAAAAAAAALgIAAGRycy9lMm9Eb2MueG1s&#10;UEsBAi0AFAAGAAgAAAAhACWm92ThAAAACwEAAA8AAAAAAAAAAAAAAAAAsQQAAGRycy9kb3ducmV2&#10;LnhtbFBLBQYAAAAABAAEAPMAAAC/BQAAAAA=&#10;" fillcolor="red" stroked="f">
              <v:fill opacity="60293f" rotate="t" focus="100%" type="gradient"/>
            </v:roundrect>
          </w:pict>
        </mc:Fallback>
      </mc:AlternateContent>
    </w:r>
    <w:r>
      <w:rPr>
        <w:rFonts w:ascii="Calibri" w:hAnsi="Calibri"/>
        <w:b/>
        <w:noProof/>
      </w:rPr>
      <w:drawing>
        <wp:anchor distT="0" distB="0" distL="114300" distR="114300" simplePos="0" relativeHeight="251658240" behindDoc="0" locked="0" layoutInCell="1" allowOverlap="1" wp14:anchorId="0AE9B907" wp14:editId="32E91EA1">
          <wp:simplePos x="0" y="0"/>
          <wp:positionH relativeFrom="column">
            <wp:posOffset>-382270</wp:posOffset>
          </wp:positionH>
          <wp:positionV relativeFrom="paragraph">
            <wp:posOffset>-347980</wp:posOffset>
          </wp:positionV>
          <wp:extent cx="2150745" cy="582295"/>
          <wp:effectExtent l="0" t="0" r="0" b="0"/>
          <wp:wrapNone/>
          <wp:docPr id="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2150745" cy="582295"/>
                  </a:xfrm>
                  <a:prstGeom prst="rect">
                    <a:avLst/>
                  </a:prstGeom>
                  <a:noFill/>
                  <a:ln>
                    <a:noFill/>
                  </a:ln>
                </pic:spPr>
              </pic:pic>
            </a:graphicData>
          </a:graphic>
          <wp14:sizeRelH relativeFrom="page">
            <wp14:pctWidth>0</wp14:pctWidth>
          </wp14:sizeRelH>
          <wp14:sizeRelV relativeFrom="page">
            <wp14:pctHeight>0</wp14:pctHeight>
          </wp14:sizeRelV>
        </wp:anchor>
      </w:drawing>
    </w:r>
    <w:r w:rsidR="00064147" w:rsidRPr="00442615">
      <w:rPr>
        <w:rFonts w:ascii="Arial" w:hAnsi="Arial" w:cs="Arial"/>
        <w:b/>
      </w:rPr>
      <w:t>202</w:t>
    </w:r>
    <w:r w:rsidR="005C7661">
      <w:rPr>
        <w:rFonts w:ascii="Arial" w:hAnsi="Arial" w:cs="Arial" w:hint="eastAsia"/>
        <w:b/>
      </w:rPr>
      <w:t>4</w:t>
    </w:r>
    <w:r w:rsidR="00BC434B">
      <w:rPr>
        <w:rFonts w:ascii="Calibri" w:hAnsi="Calibri" w:hint="eastAsia"/>
        <w:b/>
      </w:rPr>
      <w:t>年第</w:t>
    </w:r>
    <w:r w:rsidR="00025B92">
      <w:rPr>
        <w:rFonts w:ascii="Calibri" w:hAnsi="Calibri" w:hint="eastAsia"/>
        <w:b/>
      </w:rPr>
      <w:t>三</w:t>
    </w:r>
    <w:r w:rsidR="00BC434B">
      <w:rPr>
        <w:rFonts w:ascii="Calibri" w:hAnsi="Calibri" w:hint="eastAsia"/>
        <w:b/>
      </w:rPr>
      <w:t>季度业绩新闻稿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4412E9"/>
    <w:multiLevelType w:val="multilevel"/>
    <w:tmpl w:val="534412E9"/>
    <w:lvl w:ilvl="0">
      <w:start w:val="1"/>
      <w:numFmt w:val="bullet"/>
      <w:lvlText w:val=""/>
      <w:lvlJc w:val="left"/>
      <w:pPr>
        <w:tabs>
          <w:tab w:val="num" w:pos="420"/>
        </w:tabs>
        <w:ind w:left="420" w:hanging="420"/>
      </w:pPr>
      <w:rPr>
        <w:rFonts w:ascii="Wingdings" w:hAnsi="Wingdings" w:hint="default"/>
        <w:sz w:val="16"/>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638540F5"/>
    <w:multiLevelType w:val="multilevel"/>
    <w:tmpl w:val="638540F5"/>
    <w:lvl w:ilvl="0">
      <w:start w:val="1"/>
      <w:numFmt w:val="bullet"/>
      <w:lvlText w:val=""/>
      <w:lvlJc w:val="left"/>
      <w:pPr>
        <w:tabs>
          <w:tab w:val="num" w:pos="420"/>
        </w:tabs>
        <w:ind w:left="420" w:hanging="420"/>
      </w:pPr>
      <w:rPr>
        <w:rFonts w:ascii="Wingdings" w:hAnsi="Wingdings" w:hint="default"/>
        <w:sz w:val="16"/>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761978A8"/>
    <w:multiLevelType w:val="multilevel"/>
    <w:tmpl w:val="761978A8"/>
    <w:lvl w:ilvl="0">
      <w:start w:val="1"/>
      <w:numFmt w:val="taiwaneseCountingThousand"/>
      <w:lvlText w:val="%1、"/>
      <w:lvlJc w:val="left"/>
      <w:pPr>
        <w:tabs>
          <w:tab w:val="num" w:pos="465"/>
        </w:tabs>
        <w:ind w:left="465" w:hanging="465"/>
      </w:pPr>
      <w:rPr>
        <w:rFonts w:eastAsia="宋体"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BE00BFC"/>
    <w:multiLevelType w:val="hybridMultilevel"/>
    <w:tmpl w:val="EF2602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EAA1BB6"/>
    <w:multiLevelType w:val="multilevel"/>
    <w:tmpl w:val="7EAA1BB6"/>
    <w:lvl w:ilvl="0">
      <w:start w:val="1"/>
      <w:numFmt w:val="bullet"/>
      <w:lvlText w:val=""/>
      <w:lvlJc w:val="left"/>
      <w:pPr>
        <w:ind w:left="480" w:hanging="480"/>
      </w:pPr>
      <w:rPr>
        <w:rFonts w:ascii="Wingdings" w:hAnsi="Wingdings" w:hint="default"/>
        <w:sz w:val="16"/>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811870127">
    <w:abstractNumId w:val="4"/>
  </w:num>
  <w:num w:numId="2" w16cid:durableId="932779287">
    <w:abstractNumId w:val="1"/>
  </w:num>
  <w:num w:numId="3" w16cid:durableId="246235651">
    <w:abstractNumId w:val="4"/>
  </w:num>
  <w:num w:numId="4" w16cid:durableId="988552589">
    <w:abstractNumId w:val="0"/>
  </w:num>
  <w:num w:numId="5" w16cid:durableId="140193050">
    <w:abstractNumId w:val="0"/>
  </w:num>
  <w:num w:numId="6" w16cid:durableId="298995593">
    <w:abstractNumId w:val="2"/>
  </w:num>
  <w:num w:numId="7" w16cid:durableId="310406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615"/>
    <w:rsid w:val="00000005"/>
    <w:rsid w:val="00006B3C"/>
    <w:rsid w:val="00010FD5"/>
    <w:rsid w:val="00011E73"/>
    <w:rsid w:val="00014158"/>
    <w:rsid w:val="00014668"/>
    <w:rsid w:val="0001560D"/>
    <w:rsid w:val="00015A9D"/>
    <w:rsid w:val="00017699"/>
    <w:rsid w:val="00023FE1"/>
    <w:rsid w:val="00025B92"/>
    <w:rsid w:val="00031421"/>
    <w:rsid w:val="0003184F"/>
    <w:rsid w:val="00032AE6"/>
    <w:rsid w:val="000343F4"/>
    <w:rsid w:val="00035F51"/>
    <w:rsid w:val="00035F5E"/>
    <w:rsid w:val="00036446"/>
    <w:rsid w:val="00042F92"/>
    <w:rsid w:val="000453D5"/>
    <w:rsid w:val="000475D3"/>
    <w:rsid w:val="0005105D"/>
    <w:rsid w:val="000516B7"/>
    <w:rsid w:val="0005251C"/>
    <w:rsid w:val="00053CEE"/>
    <w:rsid w:val="00054A71"/>
    <w:rsid w:val="00056398"/>
    <w:rsid w:val="00056870"/>
    <w:rsid w:val="000577BD"/>
    <w:rsid w:val="0006254D"/>
    <w:rsid w:val="00064147"/>
    <w:rsid w:val="00064889"/>
    <w:rsid w:val="000668B0"/>
    <w:rsid w:val="00066CD7"/>
    <w:rsid w:val="0007009B"/>
    <w:rsid w:val="000728C9"/>
    <w:rsid w:val="00074142"/>
    <w:rsid w:val="00074E65"/>
    <w:rsid w:val="000771C8"/>
    <w:rsid w:val="0007786E"/>
    <w:rsid w:val="00077D20"/>
    <w:rsid w:val="0008099E"/>
    <w:rsid w:val="000812DB"/>
    <w:rsid w:val="00087CCF"/>
    <w:rsid w:val="000931DC"/>
    <w:rsid w:val="00093945"/>
    <w:rsid w:val="00097339"/>
    <w:rsid w:val="000A0857"/>
    <w:rsid w:val="000A0B80"/>
    <w:rsid w:val="000A3650"/>
    <w:rsid w:val="000A4C75"/>
    <w:rsid w:val="000A4CA3"/>
    <w:rsid w:val="000A52FC"/>
    <w:rsid w:val="000A5E5D"/>
    <w:rsid w:val="000B0231"/>
    <w:rsid w:val="000B2EAC"/>
    <w:rsid w:val="000B3726"/>
    <w:rsid w:val="000B3F92"/>
    <w:rsid w:val="000B61D1"/>
    <w:rsid w:val="000B7660"/>
    <w:rsid w:val="000C254C"/>
    <w:rsid w:val="000C2838"/>
    <w:rsid w:val="000C3EB2"/>
    <w:rsid w:val="000D00BC"/>
    <w:rsid w:val="000D5FC4"/>
    <w:rsid w:val="000D7FED"/>
    <w:rsid w:val="000E0288"/>
    <w:rsid w:val="000E36B3"/>
    <w:rsid w:val="000E518C"/>
    <w:rsid w:val="000F344D"/>
    <w:rsid w:val="000F43ED"/>
    <w:rsid w:val="000F7885"/>
    <w:rsid w:val="0010232A"/>
    <w:rsid w:val="00103347"/>
    <w:rsid w:val="00105230"/>
    <w:rsid w:val="0010738C"/>
    <w:rsid w:val="00111148"/>
    <w:rsid w:val="00113F78"/>
    <w:rsid w:val="00116E70"/>
    <w:rsid w:val="00120628"/>
    <w:rsid w:val="00120E1B"/>
    <w:rsid w:val="001227C2"/>
    <w:rsid w:val="001232E6"/>
    <w:rsid w:val="00123D28"/>
    <w:rsid w:val="0012684C"/>
    <w:rsid w:val="00126FF9"/>
    <w:rsid w:val="00130385"/>
    <w:rsid w:val="00130EDA"/>
    <w:rsid w:val="001310D6"/>
    <w:rsid w:val="00134CCE"/>
    <w:rsid w:val="00134EA1"/>
    <w:rsid w:val="00136A67"/>
    <w:rsid w:val="00142FA7"/>
    <w:rsid w:val="001438AA"/>
    <w:rsid w:val="00146E9F"/>
    <w:rsid w:val="00153FDD"/>
    <w:rsid w:val="001545A4"/>
    <w:rsid w:val="00161489"/>
    <w:rsid w:val="001627F5"/>
    <w:rsid w:val="00163127"/>
    <w:rsid w:val="00164160"/>
    <w:rsid w:val="00165C7F"/>
    <w:rsid w:val="00166B91"/>
    <w:rsid w:val="00172A3D"/>
    <w:rsid w:val="001738B2"/>
    <w:rsid w:val="00174985"/>
    <w:rsid w:val="00177A96"/>
    <w:rsid w:val="00180B5C"/>
    <w:rsid w:val="001810B9"/>
    <w:rsid w:val="001820DC"/>
    <w:rsid w:val="001824E4"/>
    <w:rsid w:val="001833FD"/>
    <w:rsid w:val="00184E0D"/>
    <w:rsid w:val="00186B7E"/>
    <w:rsid w:val="00190D0E"/>
    <w:rsid w:val="00196088"/>
    <w:rsid w:val="00197C2A"/>
    <w:rsid w:val="001A1A51"/>
    <w:rsid w:val="001A2DAC"/>
    <w:rsid w:val="001A572C"/>
    <w:rsid w:val="001B021F"/>
    <w:rsid w:val="001B0960"/>
    <w:rsid w:val="001B644B"/>
    <w:rsid w:val="001B7665"/>
    <w:rsid w:val="001C2491"/>
    <w:rsid w:val="001C3670"/>
    <w:rsid w:val="001C4E63"/>
    <w:rsid w:val="001C5C9B"/>
    <w:rsid w:val="001D2018"/>
    <w:rsid w:val="001D3786"/>
    <w:rsid w:val="001D3DC4"/>
    <w:rsid w:val="001D756D"/>
    <w:rsid w:val="001E2804"/>
    <w:rsid w:val="001E4057"/>
    <w:rsid w:val="001E4D10"/>
    <w:rsid w:val="001E58AA"/>
    <w:rsid w:val="001E65EE"/>
    <w:rsid w:val="001F1212"/>
    <w:rsid w:val="001F1B0C"/>
    <w:rsid w:val="001F2925"/>
    <w:rsid w:val="001F7F6B"/>
    <w:rsid w:val="002013E3"/>
    <w:rsid w:val="0020448B"/>
    <w:rsid w:val="002047E0"/>
    <w:rsid w:val="00212377"/>
    <w:rsid w:val="0021650E"/>
    <w:rsid w:val="00217D1C"/>
    <w:rsid w:val="00222D84"/>
    <w:rsid w:val="00224F0C"/>
    <w:rsid w:val="00225886"/>
    <w:rsid w:val="0022594E"/>
    <w:rsid w:val="0022597C"/>
    <w:rsid w:val="002267D7"/>
    <w:rsid w:val="00226F7C"/>
    <w:rsid w:val="0022747C"/>
    <w:rsid w:val="00232C91"/>
    <w:rsid w:val="0023541C"/>
    <w:rsid w:val="00236D77"/>
    <w:rsid w:val="00241BD8"/>
    <w:rsid w:val="002426E7"/>
    <w:rsid w:val="00243788"/>
    <w:rsid w:val="00246992"/>
    <w:rsid w:val="00247440"/>
    <w:rsid w:val="00247915"/>
    <w:rsid w:val="002505F3"/>
    <w:rsid w:val="00251F10"/>
    <w:rsid w:val="002520B4"/>
    <w:rsid w:val="00252EAA"/>
    <w:rsid w:val="0025542C"/>
    <w:rsid w:val="002572C1"/>
    <w:rsid w:val="0026022D"/>
    <w:rsid w:val="002613CC"/>
    <w:rsid w:val="00264BA8"/>
    <w:rsid w:val="00265244"/>
    <w:rsid w:val="00266D63"/>
    <w:rsid w:val="00270D55"/>
    <w:rsid w:val="00281683"/>
    <w:rsid w:val="00284C80"/>
    <w:rsid w:val="00290289"/>
    <w:rsid w:val="002911C9"/>
    <w:rsid w:val="00291700"/>
    <w:rsid w:val="00291873"/>
    <w:rsid w:val="00292494"/>
    <w:rsid w:val="00297B15"/>
    <w:rsid w:val="002A07D4"/>
    <w:rsid w:val="002A10FA"/>
    <w:rsid w:val="002A18FE"/>
    <w:rsid w:val="002A1C25"/>
    <w:rsid w:val="002A347B"/>
    <w:rsid w:val="002A4B2C"/>
    <w:rsid w:val="002A53F0"/>
    <w:rsid w:val="002A65FE"/>
    <w:rsid w:val="002A7CF0"/>
    <w:rsid w:val="002B0AC1"/>
    <w:rsid w:val="002B1AC8"/>
    <w:rsid w:val="002B3E41"/>
    <w:rsid w:val="002B6C49"/>
    <w:rsid w:val="002C36F5"/>
    <w:rsid w:val="002C3D77"/>
    <w:rsid w:val="002C6D13"/>
    <w:rsid w:val="002D0B6F"/>
    <w:rsid w:val="002E0204"/>
    <w:rsid w:val="002E1455"/>
    <w:rsid w:val="002E17A5"/>
    <w:rsid w:val="002E2E8D"/>
    <w:rsid w:val="002E343B"/>
    <w:rsid w:val="002E51FB"/>
    <w:rsid w:val="002E759F"/>
    <w:rsid w:val="002F0C81"/>
    <w:rsid w:val="002F605E"/>
    <w:rsid w:val="002F6E51"/>
    <w:rsid w:val="002F79F9"/>
    <w:rsid w:val="002F7B58"/>
    <w:rsid w:val="00300470"/>
    <w:rsid w:val="003015C1"/>
    <w:rsid w:val="00301C2C"/>
    <w:rsid w:val="003028E9"/>
    <w:rsid w:val="0030331D"/>
    <w:rsid w:val="003034FE"/>
    <w:rsid w:val="003041CA"/>
    <w:rsid w:val="003041D0"/>
    <w:rsid w:val="00304A50"/>
    <w:rsid w:val="003064E4"/>
    <w:rsid w:val="00315821"/>
    <w:rsid w:val="00320AA1"/>
    <w:rsid w:val="00320AE8"/>
    <w:rsid w:val="00321AD6"/>
    <w:rsid w:val="00323062"/>
    <w:rsid w:val="0032317E"/>
    <w:rsid w:val="003314FF"/>
    <w:rsid w:val="0033237D"/>
    <w:rsid w:val="00333DC6"/>
    <w:rsid w:val="00335640"/>
    <w:rsid w:val="003356C4"/>
    <w:rsid w:val="0034021F"/>
    <w:rsid w:val="00340D6F"/>
    <w:rsid w:val="00341F60"/>
    <w:rsid w:val="003432D4"/>
    <w:rsid w:val="00343BE1"/>
    <w:rsid w:val="00345EE2"/>
    <w:rsid w:val="003465C3"/>
    <w:rsid w:val="003532EB"/>
    <w:rsid w:val="00356126"/>
    <w:rsid w:val="00357548"/>
    <w:rsid w:val="003575BD"/>
    <w:rsid w:val="0036069E"/>
    <w:rsid w:val="003637C8"/>
    <w:rsid w:val="0036503C"/>
    <w:rsid w:val="00365916"/>
    <w:rsid w:val="003678A5"/>
    <w:rsid w:val="00370697"/>
    <w:rsid w:val="00370C46"/>
    <w:rsid w:val="00371E88"/>
    <w:rsid w:val="0037400B"/>
    <w:rsid w:val="00376170"/>
    <w:rsid w:val="003771C6"/>
    <w:rsid w:val="003777FB"/>
    <w:rsid w:val="00383150"/>
    <w:rsid w:val="0038438F"/>
    <w:rsid w:val="00386E91"/>
    <w:rsid w:val="003874D4"/>
    <w:rsid w:val="00387AC9"/>
    <w:rsid w:val="00387B4F"/>
    <w:rsid w:val="003912D8"/>
    <w:rsid w:val="00392E1D"/>
    <w:rsid w:val="00393953"/>
    <w:rsid w:val="0039438E"/>
    <w:rsid w:val="00395691"/>
    <w:rsid w:val="00396A5E"/>
    <w:rsid w:val="00397984"/>
    <w:rsid w:val="003A0E3F"/>
    <w:rsid w:val="003A2318"/>
    <w:rsid w:val="003A2400"/>
    <w:rsid w:val="003A2615"/>
    <w:rsid w:val="003A2648"/>
    <w:rsid w:val="003A5745"/>
    <w:rsid w:val="003A5DC0"/>
    <w:rsid w:val="003A5F01"/>
    <w:rsid w:val="003A6239"/>
    <w:rsid w:val="003A7892"/>
    <w:rsid w:val="003B05A1"/>
    <w:rsid w:val="003B17C4"/>
    <w:rsid w:val="003B22AD"/>
    <w:rsid w:val="003B2978"/>
    <w:rsid w:val="003B29AF"/>
    <w:rsid w:val="003B387A"/>
    <w:rsid w:val="003B46C1"/>
    <w:rsid w:val="003B5AE7"/>
    <w:rsid w:val="003C0214"/>
    <w:rsid w:val="003C0F5B"/>
    <w:rsid w:val="003C1F2D"/>
    <w:rsid w:val="003C26FF"/>
    <w:rsid w:val="003C2E58"/>
    <w:rsid w:val="003C2FA6"/>
    <w:rsid w:val="003C3329"/>
    <w:rsid w:val="003C3B64"/>
    <w:rsid w:val="003D4844"/>
    <w:rsid w:val="003D537D"/>
    <w:rsid w:val="003D5FF0"/>
    <w:rsid w:val="003E1D80"/>
    <w:rsid w:val="003E1E4C"/>
    <w:rsid w:val="003E2524"/>
    <w:rsid w:val="003E61FE"/>
    <w:rsid w:val="003F0093"/>
    <w:rsid w:val="003F01AC"/>
    <w:rsid w:val="003F0FF5"/>
    <w:rsid w:val="003F2CCB"/>
    <w:rsid w:val="003F4DD8"/>
    <w:rsid w:val="003F581B"/>
    <w:rsid w:val="00400A2E"/>
    <w:rsid w:val="00405396"/>
    <w:rsid w:val="0041089E"/>
    <w:rsid w:val="00411951"/>
    <w:rsid w:val="004135A9"/>
    <w:rsid w:val="004136C2"/>
    <w:rsid w:val="00415A6C"/>
    <w:rsid w:val="00415BA3"/>
    <w:rsid w:val="00417159"/>
    <w:rsid w:val="00417824"/>
    <w:rsid w:val="00421A54"/>
    <w:rsid w:val="0042413F"/>
    <w:rsid w:val="004262A0"/>
    <w:rsid w:val="00430B17"/>
    <w:rsid w:val="00432519"/>
    <w:rsid w:val="00435CD0"/>
    <w:rsid w:val="00441884"/>
    <w:rsid w:val="004422FC"/>
    <w:rsid w:val="00442601"/>
    <w:rsid w:val="00442615"/>
    <w:rsid w:val="00447235"/>
    <w:rsid w:val="004560D4"/>
    <w:rsid w:val="00456C28"/>
    <w:rsid w:val="00460FFA"/>
    <w:rsid w:val="00461432"/>
    <w:rsid w:val="00467403"/>
    <w:rsid w:val="00467E81"/>
    <w:rsid w:val="00472392"/>
    <w:rsid w:val="00472E22"/>
    <w:rsid w:val="004741FC"/>
    <w:rsid w:val="00475274"/>
    <w:rsid w:val="004754BC"/>
    <w:rsid w:val="004763E6"/>
    <w:rsid w:val="004764F5"/>
    <w:rsid w:val="00481318"/>
    <w:rsid w:val="004814BC"/>
    <w:rsid w:val="00481A57"/>
    <w:rsid w:val="0048570F"/>
    <w:rsid w:val="00485B12"/>
    <w:rsid w:val="00486479"/>
    <w:rsid w:val="004866D8"/>
    <w:rsid w:val="00487B55"/>
    <w:rsid w:val="004903CC"/>
    <w:rsid w:val="00492046"/>
    <w:rsid w:val="00492C97"/>
    <w:rsid w:val="00494463"/>
    <w:rsid w:val="00495CDB"/>
    <w:rsid w:val="004A141A"/>
    <w:rsid w:val="004A4DB4"/>
    <w:rsid w:val="004A5422"/>
    <w:rsid w:val="004A64AF"/>
    <w:rsid w:val="004B1318"/>
    <w:rsid w:val="004B1CBC"/>
    <w:rsid w:val="004B5879"/>
    <w:rsid w:val="004B5DB1"/>
    <w:rsid w:val="004C2B5D"/>
    <w:rsid w:val="004C63BC"/>
    <w:rsid w:val="004C6B4A"/>
    <w:rsid w:val="004D0A90"/>
    <w:rsid w:val="004D10E0"/>
    <w:rsid w:val="004D1148"/>
    <w:rsid w:val="004D39DE"/>
    <w:rsid w:val="004D4FFE"/>
    <w:rsid w:val="004E1C95"/>
    <w:rsid w:val="004E32CF"/>
    <w:rsid w:val="004E33BF"/>
    <w:rsid w:val="004E7F87"/>
    <w:rsid w:val="004F2747"/>
    <w:rsid w:val="004F3FF1"/>
    <w:rsid w:val="004F4E39"/>
    <w:rsid w:val="004F509E"/>
    <w:rsid w:val="004F5DA8"/>
    <w:rsid w:val="004F7B0F"/>
    <w:rsid w:val="004F7FA5"/>
    <w:rsid w:val="005012BA"/>
    <w:rsid w:val="005013D4"/>
    <w:rsid w:val="00502EB8"/>
    <w:rsid w:val="00503883"/>
    <w:rsid w:val="00503A05"/>
    <w:rsid w:val="00515744"/>
    <w:rsid w:val="00516D49"/>
    <w:rsid w:val="00522EA8"/>
    <w:rsid w:val="0052501A"/>
    <w:rsid w:val="00525B92"/>
    <w:rsid w:val="00531974"/>
    <w:rsid w:val="0053380A"/>
    <w:rsid w:val="00534855"/>
    <w:rsid w:val="00535077"/>
    <w:rsid w:val="00535078"/>
    <w:rsid w:val="0053640C"/>
    <w:rsid w:val="00537BC0"/>
    <w:rsid w:val="00544F39"/>
    <w:rsid w:val="00547C2B"/>
    <w:rsid w:val="00551292"/>
    <w:rsid w:val="005526AD"/>
    <w:rsid w:val="0055599E"/>
    <w:rsid w:val="005572EF"/>
    <w:rsid w:val="0055782A"/>
    <w:rsid w:val="005608DD"/>
    <w:rsid w:val="00560BED"/>
    <w:rsid w:val="00561144"/>
    <w:rsid w:val="0056791D"/>
    <w:rsid w:val="00567C8B"/>
    <w:rsid w:val="00576014"/>
    <w:rsid w:val="00581492"/>
    <w:rsid w:val="00581A69"/>
    <w:rsid w:val="005828D8"/>
    <w:rsid w:val="0058350F"/>
    <w:rsid w:val="00586A75"/>
    <w:rsid w:val="00586ACB"/>
    <w:rsid w:val="00591DA9"/>
    <w:rsid w:val="00592F81"/>
    <w:rsid w:val="0059328A"/>
    <w:rsid w:val="005A299C"/>
    <w:rsid w:val="005A38D6"/>
    <w:rsid w:val="005A61EC"/>
    <w:rsid w:val="005A672A"/>
    <w:rsid w:val="005B0599"/>
    <w:rsid w:val="005C1604"/>
    <w:rsid w:val="005C212E"/>
    <w:rsid w:val="005C2B49"/>
    <w:rsid w:val="005C3274"/>
    <w:rsid w:val="005C3B04"/>
    <w:rsid w:val="005C408F"/>
    <w:rsid w:val="005C4FBA"/>
    <w:rsid w:val="005C7335"/>
    <w:rsid w:val="005C7661"/>
    <w:rsid w:val="005D49E8"/>
    <w:rsid w:val="005D75AC"/>
    <w:rsid w:val="005E133F"/>
    <w:rsid w:val="005E4502"/>
    <w:rsid w:val="005E484F"/>
    <w:rsid w:val="005E506A"/>
    <w:rsid w:val="005E7928"/>
    <w:rsid w:val="005F3323"/>
    <w:rsid w:val="005F358F"/>
    <w:rsid w:val="005F5CB9"/>
    <w:rsid w:val="005F70E8"/>
    <w:rsid w:val="005F7AAC"/>
    <w:rsid w:val="006025A0"/>
    <w:rsid w:val="006047DD"/>
    <w:rsid w:val="00604F39"/>
    <w:rsid w:val="00605BF2"/>
    <w:rsid w:val="00606297"/>
    <w:rsid w:val="00607774"/>
    <w:rsid w:val="00611294"/>
    <w:rsid w:val="006112E4"/>
    <w:rsid w:val="006121A2"/>
    <w:rsid w:val="00612554"/>
    <w:rsid w:val="00614409"/>
    <w:rsid w:val="00615770"/>
    <w:rsid w:val="00616866"/>
    <w:rsid w:val="00621BFC"/>
    <w:rsid w:val="00622A78"/>
    <w:rsid w:val="006231B8"/>
    <w:rsid w:val="00623358"/>
    <w:rsid w:val="00624164"/>
    <w:rsid w:val="00624CDF"/>
    <w:rsid w:val="00627DF1"/>
    <w:rsid w:val="00633013"/>
    <w:rsid w:val="0063311E"/>
    <w:rsid w:val="00633EE9"/>
    <w:rsid w:val="006345FB"/>
    <w:rsid w:val="00636620"/>
    <w:rsid w:val="00640102"/>
    <w:rsid w:val="00641B26"/>
    <w:rsid w:val="00643786"/>
    <w:rsid w:val="006463DB"/>
    <w:rsid w:val="006478DA"/>
    <w:rsid w:val="0065082A"/>
    <w:rsid w:val="00650A50"/>
    <w:rsid w:val="006513D7"/>
    <w:rsid w:val="006515B4"/>
    <w:rsid w:val="00654AE6"/>
    <w:rsid w:val="006556AD"/>
    <w:rsid w:val="00655767"/>
    <w:rsid w:val="00655D9C"/>
    <w:rsid w:val="0065749E"/>
    <w:rsid w:val="0066261D"/>
    <w:rsid w:val="00664A47"/>
    <w:rsid w:val="0066557F"/>
    <w:rsid w:val="00667983"/>
    <w:rsid w:val="006709D3"/>
    <w:rsid w:val="00671D93"/>
    <w:rsid w:val="00671E44"/>
    <w:rsid w:val="00671FAE"/>
    <w:rsid w:val="00672F99"/>
    <w:rsid w:val="0067336B"/>
    <w:rsid w:val="0067412E"/>
    <w:rsid w:val="00676B84"/>
    <w:rsid w:val="006828FC"/>
    <w:rsid w:val="00682FA4"/>
    <w:rsid w:val="00683B16"/>
    <w:rsid w:val="00685133"/>
    <w:rsid w:val="00687D3B"/>
    <w:rsid w:val="006902F6"/>
    <w:rsid w:val="0069210F"/>
    <w:rsid w:val="00692155"/>
    <w:rsid w:val="00692694"/>
    <w:rsid w:val="00693796"/>
    <w:rsid w:val="00693840"/>
    <w:rsid w:val="006A1B22"/>
    <w:rsid w:val="006A27FA"/>
    <w:rsid w:val="006A5A19"/>
    <w:rsid w:val="006A6B6B"/>
    <w:rsid w:val="006B0321"/>
    <w:rsid w:val="006B0534"/>
    <w:rsid w:val="006B10EB"/>
    <w:rsid w:val="006B20F6"/>
    <w:rsid w:val="006B27A5"/>
    <w:rsid w:val="006B5630"/>
    <w:rsid w:val="006B6293"/>
    <w:rsid w:val="006B7542"/>
    <w:rsid w:val="006C0AF2"/>
    <w:rsid w:val="006C1A69"/>
    <w:rsid w:val="006C38A4"/>
    <w:rsid w:val="006C43B8"/>
    <w:rsid w:val="006C6027"/>
    <w:rsid w:val="006C64A4"/>
    <w:rsid w:val="006D23FF"/>
    <w:rsid w:val="006D5371"/>
    <w:rsid w:val="006D5CB1"/>
    <w:rsid w:val="006D64B8"/>
    <w:rsid w:val="006D6D38"/>
    <w:rsid w:val="006D74A2"/>
    <w:rsid w:val="006E4A58"/>
    <w:rsid w:val="006E55FA"/>
    <w:rsid w:val="006E57DA"/>
    <w:rsid w:val="006E78F8"/>
    <w:rsid w:val="006F2058"/>
    <w:rsid w:val="006F3640"/>
    <w:rsid w:val="00700A7E"/>
    <w:rsid w:val="00700CDD"/>
    <w:rsid w:val="00701EAA"/>
    <w:rsid w:val="00702B46"/>
    <w:rsid w:val="00703637"/>
    <w:rsid w:val="0070486A"/>
    <w:rsid w:val="00705692"/>
    <w:rsid w:val="00707940"/>
    <w:rsid w:val="00707F32"/>
    <w:rsid w:val="00710789"/>
    <w:rsid w:val="0071081D"/>
    <w:rsid w:val="00712D1A"/>
    <w:rsid w:val="00717735"/>
    <w:rsid w:val="00721F0E"/>
    <w:rsid w:val="00723556"/>
    <w:rsid w:val="00725960"/>
    <w:rsid w:val="0072782F"/>
    <w:rsid w:val="007301DF"/>
    <w:rsid w:val="00730246"/>
    <w:rsid w:val="0073132C"/>
    <w:rsid w:val="00731880"/>
    <w:rsid w:val="00733AC8"/>
    <w:rsid w:val="007363DD"/>
    <w:rsid w:val="00740C32"/>
    <w:rsid w:val="007422A4"/>
    <w:rsid w:val="00743784"/>
    <w:rsid w:val="007437AE"/>
    <w:rsid w:val="00744F8A"/>
    <w:rsid w:val="00745613"/>
    <w:rsid w:val="007508CD"/>
    <w:rsid w:val="00755C41"/>
    <w:rsid w:val="00757875"/>
    <w:rsid w:val="00761978"/>
    <w:rsid w:val="00763668"/>
    <w:rsid w:val="00763F98"/>
    <w:rsid w:val="00764557"/>
    <w:rsid w:val="007713E0"/>
    <w:rsid w:val="00773610"/>
    <w:rsid w:val="007745C0"/>
    <w:rsid w:val="00775774"/>
    <w:rsid w:val="007762D7"/>
    <w:rsid w:val="007806C3"/>
    <w:rsid w:val="00781ED2"/>
    <w:rsid w:val="00784D08"/>
    <w:rsid w:val="00784D98"/>
    <w:rsid w:val="00785B4E"/>
    <w:rsid w:val="00787FAB"/>
    <w:rsid w:val="007902A0"/>
    <w:rsid w:val="0079148E"/>
    <w:rsid w:val="00791FB1"/>
    <w:rsid w:val="00792701"/>
    <w:rsid w:val="007961C2"/>
    <w:rsid w:val="007A0AF0"/>
    <w:rsid w:val="007A28FA"/>
    <w:rsid w:val="007A2B8D"/>
    <w:rsid w:val="007A520D"/>
    <w:rsid w:val="007A5CC7"/>
    <w:rsid w:val="007A68EF"/>
    <w:rsid w:val="007B4A02"/>
    <w:rsid w:val="007C00BC"/>
    <w:rsid w:val="007C17A5"/>
    <w:rsid w:val="007C29B0"/>
    <w:rsid w:val="007C3C17"/>
    <w:rsid w:val="007C4988"/>
    <w:rsid w:val="007C5EC5"/>
    <w:rsid w:val="007D0809"/>
    <w:rsid w:val="007D090E"/>
    <w:rsid w:val="007D0F17"/>
    <w:rsid w:val="007D2195"/>
    <w:rsid w:val="007D2AA5"/>
    <w:rsid w:val="007D55FE"/>
    <w:rsid w:val="007D6EF1"/>
    <w:rsid w:val="007D7773"/>
    <w:rsid w:val="007D7A7F"/>
    <w:rsid w:val="007D7D4C"/>
    <w:rsid w:val="007E1BC0"/>
    <w:rsid w:val="007E30CD"/>
    <w:rsid w:val="007E43C1"/>
    <w:rsid w:val="007E462E"/>
    <w:rsid w:val="007E6055"/>
    <w:rsid w:val="007F070D"/>
    <w:rsid w:val="007F1433"/>
    <w:rsid w:val="007F4B34"/>
    <w:rsid w:val="007F54F4"/>
    <w:rsid w:val="007F6D0B"/>
    <w:rsid w:val="00800FC7"/>
    <w:rsid w:val="00803252"/>
    <w:rsid w:val="00807452"/>
    <w:rsid w:val="00811E74"/>
    <w:rsid w:val="008159A2"/>
    <w:rsid w:val="00816750"/>
    <w:rsid w:val="00816EC6"/>
    <w:rsid w:val="00824516"/>
    <w:rsid w:val="00824B02"/>
    <w:rsid w:val="0082691E"/>
    <w:rsid w:val="00826CD7"/>
    <w:rsid w:val="0083218F"/>
    <w:rsid w:val="00833596"/>
    <w:rsid w:val="00833750"/>
    <w:rsid w:val="0083614D"/>
    <w:rsid w:val="008364AF"/>
    <w:rsid w:val="00836676"/>
    <w:rsid w:val="00836E52"/>
    <w:rsid w:val="00837490"/>
    <w:rsid w:val="00840AA6"/>
    <w:rsid w:val="008424A6"/>
    <w:rsid w:val="00842957"/>
    <w:rsid w:val="00843C91"/>
    <w:rsid w:val="00845C3A"/>
    <w:rsid w:val="00847343"/>
    <w:rsid w:val="00847CA2"/>
    <w:rsid w:val="00852E05"/>
    <w:rsid w:val="008562E5"/>
    <w:rsid w:val="008569F4"/>
    <w:rsid w:val="00857A43"/>
    <w:rsid w:val="008621C6"/>
    <w:rsid w:val="00862CB0"/>
    <w:rsid w:val="00863032"/>
    <w:rsid w:val="00863E44"/>
    <w:rsid w:val="00865AD0"/>
    <w:rsid w:val="00865B2B"/>
    <w:rsid w:val="00870E81"/>
    <w:rsid w:val="008726E0"/>
    <w:rsid w:val="00876236"/>
    <w:rsid w:val="00877454"/>
    <w:rsid w:val="008776C7"/>
    <w:rsid w:val="00880770"/>
    <w:rsid w:val="00880D7D"/>
    <w:rsid w:val="008816A8"/>
    <w:rsid w:val="0088428C"/>
    <w:rsid w:val="00887264"/>
    <w:rsid w:val="008874C7"/>
    <w:rsid w:val="008A5338"/>
    <w:rsid w:val="008A58A1"/>
    <w:rsid w:val="008A5C5F"/>
    <w:rsid w:val="008A73F2"/>
    <w:rsid w:val="008B0ABA"/>
    <w:rsid w:val="008B0B03"/>
    <w:rsid w:val="008B569C"/>
    <w:rsid w:val="008B58A8"/>
    <w:rsid w:val="008C12BE"/>
    <w:rsid w:val="008C53CC"/>
    <w:rsid w:val="008C7FFE"/>
    <w:rsid w:val="008D1777"/>
    <w:rsid w:val="008D266A"/>
    <w:rsid w:val="008D2DD0"/>
    <w:rsid w:val="008D3DF5"/>
    <w:rsid w:val="008D63EB"/>
    <w:rsid w:val="008D7B21"/>
    <w:rsid w:val="008E0891"/>
    <w:rsid w:val="008E1DD1"/>
    <w:rsid w:val="008E2689"/>
    <w:rsid w:val="008E39E2"/>
    <w:rsid w:val="008E3DFD"/>
    <w:rsid w:val="008E7FBC"/>
    <w:rsid w:val="008F11F9"/>
    <w:rsid w:val="008F1882"/>
    <w:rsid w:val="008F2E29"/>
    <w:rsid w:val="008F4A22"/>
    <w:rsid w:val="008F4F8B"/>
    <w:rsid w:val="008F6463"/>
    <w:rsid w:val="008F6EDE"/>
    <w:rsid w:val="008F7C48"/>
    <w:rsid w:val="009035B2"/>
    <w:rsid w:val="00910BD8"/>
    <w:rsid w:val="00911445"/>
    <w:rsid w:val="00913C51"/>
    <w:rsid w:val="00914EA9"/>
    <w:rsid w:val="0091617F"/>
    <w:rsid w:val="009163E6"/>
    <w:rsid w:val="009163F5"/>
    <w:rsid w:val="00920F1D"/>
    <w:rsid w:val="00921290"/>
    <w:rsid w:val="00922FC0"/>
    <w:rsid w:val="009240E0"/>
    <w:rsid w:val="0093084B"/>
    <w:rsid w:val="00931E2F"/>
    <w:rsid w:val="00933488"/>
    <w:rsid w:val="009342EF"/>
    <w:rsid w:val="00935014"/>
    <w:rsid w:val="00936D7F"/>
    <w:rsid w:val="00936E21"/>
    <w:rsid w:val="00937BAD"/>
    <w:rsid w:val="00937FE5"/>
    <w:rsid w:val="00943E69"/>
    <w:rsid w:val="00947483"/>
    <w:rsid w:val="009501EC"/>
    <w:rsid w:val="0095263E"/>
    <w:rsid w:val="00953F37"/>
    <w:rsid w:val="00955DD6"/>
    <w:rsid w:val="00957F61"/>
    <w:rsid w:val="00962C31"/>
    <w:rsid w:val="0096445A"/>
    <w:rsid w:val="00964FFA"/>
    <w:rsid w:val="00965B12"/>
    <w:rsid w:val="00966B97"/>
    <w:rsid w:val="00971BAF"/>
    <w:rsid w:val="0097317B"/>
    <w:rsid w:val="00973B9F"/>
    <w:rsid w:val="00980AA6"/>
    <w:rsid w:val="00985940"/>
    <w:rsid w:val="00990BB3"/>
    <w:rsid w:val="00992CC0"/>
    <w:rsid w:val="00995646"/>
    <w:rsid w:val="009A23C6"/>
    <w:rsid w:val="009A3753"/>
    <w:rsid w:val="009A5825"/>
    <w:rsid w:val="009A7F78"/>
    <w:rsid w:val="009B01C4"/>
    <w:rsid w:val="009B2A75"/>
    <w:rsid w:val="009B42A3"/>
    <w:rsid w:val="009C1156"/>
    <w:rsid w:val="009C3BCD"/>
    <w:rsid w:val="009C41F6"/>
    <w:rsid w:val="009C7812"/>
    <w:rsid w:val="009D304C"/>
    <w:rsid w:val="009D538C"/>
    <w:rsid w:val="009E1419"/>
    <w:rsid w:val="009E244A"/>
    <w:rsid w:val="009E281C"/>
    <w:rsid w:val="009E2A1E"/>
    <w:rsid w:val="009E2D82"/>
    <w:rsid w:val="009E2F95"/>
    <w:rsid w:val="009E360A"/>
    <w:rsid w:val="009E55DF"/>
    <w:rsid w:val="009E6711"/>
    <w:rsid w:val="009E6CA7"/>
    <w:rsid w:val="009E77EA"/>
    <w:rsid w:val="009F11AF"/>
    <w:rsid w:val="009F1B36"/>
    <w:rsid w:val="009F6DA3"/>
    <w:rsid w:val="009F6E66"/>
    <w:rsid w:val="009F74F9"/>
    <w:rsid w:val="00A00155"/>
    <w:rsid w:val="00A00BA0"/>
    <w:rsid w:val="00A00F04"/>
    <w:rsid w:val="00A02A42"/>
    <w:rsid w:val="00A0305D"/>
    <w:rsid w:val="00A03667"/>
    <w:rsid w:val="00A04275"/>
    <w:rsid w:val="00A04DD3"/>
    <w:rsid w:val="00A058B4"/>
    <w:rsid w:val="00A0669A"/>
    <w:rsid w:val="00A100EA"/>
    <w:rsid w:val="00A10840"/>
    <w:rsid w:val="00A116C4"/>
    <w:rsid w:val="00A14384"/>
    <w:rsid w:val="00A14ED3"/>
    <w:rsid w:val="00A201B8"/>
    <w:rsid w:val="00A203E1"/>
    <w:rsid w:val="00A2137F"/>
    <w:rsid w:val="00A22613"/>
    <w:rsid w:val="00A23363"/>
    <w:rsid w:val="00A2778F"/>
    <w:rsid w:val="00A30E09"/>
    <w:rsid w:val="00A3286F"/>
    <w:rsid w:val="00A3356D"/>
    <w:rsid w:val="00A33B87"/>
    <w:rsid w:val="00A33EEB"/>
    <w:rsid w:val="00A34E7B"/>
    <w:rsid w:val="00A35DAF"/>
    <w:rsid w:val="00A37E3C"/>
    <w:rsid w:val="00A4156E"/>
    <w:rsid w:val="00A418EA"/>
    <w:rsid w:val="00A42B02"/>
    <w:rsid w:val="00A42F49"/>
    <w:rsid w:val="00A4362D"/>
    <w:rsid w:val="00A46809"/>
    <w:rsid w:val="00A47EFE"/>
    <w:rsid w:val="00A505C2"/>
    <w:rsid w:val="00A51424"/>
    <w:rsid w:val="00A52629"/>
    <w:rsid w:val="00A55E8A"/>
    <w:rsid w:val="00A616D3"/>
    <w:rsid w:val="00A63CC0"/>
    <w:rsid w:val="00A64013"/>
    <w:rsid w:val="00A6454B"/>
    <w:rsid w:val="00A66AF1"/>
    <w:rsid w:val="00A66F1C"/>
    <w:rsid w:val="00A70A41"/>
    <w:rsid w:val="00A82944"/>
    <w:rsid w:val="00A83742"/>
    <w:rsid w:val="00A84B63"/>
    <w:rsid w:val="00A859F3"/>
    <w:rsid w:val="00A860BA"/>
    <w:rsid w:val="00A87784"/>
    <w:rsid w:val="00A87D3D"/>
    <w:rsid w:val="00A9171A"/>
    <w:rsid w:val="00A9271B"/>
    <w:rsid w:val="00A9497B"/>
    <w:rsid w:val="00AA0F73"/>
    <w:rsid w:val="00AA2CAD"/>
    <w:rsid w:val="00AA320D"/>
    <w:rsid w:val="00AB26FF"/>
    <w:rsid w:val="00AB2C85"/>
    <w:rsid w:val="00AB329C"/>
    <w:rsid w:val="00AB4656"/>
    <w:rsid w:val="00AB58AE"/>
    <w:rsid w:val="00AB5B99"/>
    <w:rsid w:val="00AB6598"/>
    <w:rsid w:val="00AB67EB"/>
    <w:rsid w:val="00AC157B"/>
    <w:rsid w:val="00AC4F70"/>
    <w:rsid w:val="00AC54CF"/>
    <w:rsid w:val="00AD1CC8"/>
    <w:rsid w:val="00AD37BC"/>
    <w:rsid w:val="00AD42FD"/>
    <w:rsid w:val="00AD566B"/>
    <w:rsid w:val="00AD570C"/>
    <w:rsid w:val="00AD61A1"/>
    <w:rsid w:val="00AE03A6"/>
    <w:rsid w:val="00AE209E"/>
    <w:rsid w:val="00AE385F"/>
    <w:rsid w:val="00AE3B56"/>
    <w:rsid w:val="00AE4E16"/>
    <w:rsid w:val="00AE4E87"/>
    <w:rsid w:val="00AE5E03"/>
    <w:rsid w:val="00AE60F6"/>
    <w:rsid w:val="00AE72E3"/>
    <w:rsid w:val="00AF32F4"/>
    <w:rsid w:val="00AF3C63"/>
    <w:rsid w:val="00AF6FF2"/>
    <w:rsid w:val="00B063D2"/>
    <w:rsid w:val="00B119C0"/>
    <w:rsid w:val="00B12A3E"/>
    <w:rsid w:val="00B138D6"/>
    <w:rsid w:val="00B13946"/>
    <w:rsid w:val="00B1703C"/>
    <w:rsid w:val="00B173B9"/>
    <w:rsid w:val="00B175DD"/>
    <w:rsid w:val="00B22E74"/>
    <w:rsid w:val="00B264D3"/>
    <w:rsid w:val="00B30C5E"/>
    <w:rsid w:val="00B31433"/>
    <w:rsid w:val="00B31F63"/>
    <w:rsid w:val="00B32090"/>
    <w:rsid w:val="00B334D1"/>
    <w:rsid w:val="00B33858"/>
    <w:rsid w:val="00B3641B"/>
    <w:rsid w:val="00B365C5"/>
    <w:rsid w:val="00B36B05"/>
    <w:rsid w:val="00B42442"/>
    <w:rsid w:val="00B43DA0"/>
    <w:rsid w:val="00B45DD2"/>
    <w:rsid w:val="00B46336"/>
    <w:rsid w:val="00B4735C"/>
    <w:rsid w:val="00B478B0"/>
    <w:rsid w:val="00B55561"/>
    <w:rsid w:val="00B60A12"/>
    <w:rsid w:val="00B6654D"/>
    <w:rsid w:val="00B73D41"/>
    <w:rsid w:val="00B756FF"/>
    <w:rsid w:val="00B75C76"/>
    <w:rsid w:val="00B76B06"/>
    <w:rsid w:val="00B76E0E"/>
    <w:rsid w:val="00B825C4"/>
    <w:rsid w:val="00B9016F"/>
    <w:rsid w:val="00B90A38"/>
    <w:rsid w:val="00B93783"/>
    <w:rsid w:val="00BA1C6A"/>
    <w:rsid w:val="00BA2815"/>
    <w:rsid w:val="00BA28B4"/>
    <w:rsid w:val="00BA3B1D"/>
    <w:rsid w:val="00BA40E0"/>
    <w:rsid w:val="00BA4DFE"/>
    <w:rsid w:val="00BA7592"/>
    <w:rsid w:val="00BB2D5A"/>
    <w:rsid w:val="00BB3184"/>
    <w:rsid w:val="00BB795F"/>
    <w:rsid w:val="00BC041A"/>
    <w:rsid w:val="00BC2926"/>
    <w:rsid w:val="00BC434B"/>
    <w:rsid w:val="00BC5EFC"/>
    <w:rsid w:val="00BC634F"/>
    <w:rsid w:val="00BC768F"/>
    <w:rsid w:val="00BD055C"/>
    <w:rsid w:val="00BD07BB"/>
    <w:rsid w:val="00BD0D2E"/>
    <w:rsid w:val="00BD171E"/>
    <w:rsid w:val="00BD352C"/>
    <w:rsid w:val="00BD7A46"/>
    <w:rsid w:val="00BE2A2A"/>
    <w:rsid w:val="00BE4740"/>
    <w:rsid w:val="00BE4CD4"/>
    <w:rsid w:val="00BE63B4"/>
    <w:rsid w:val="00BF08D7"/>
    <w:rsid w:val="00BF0C97"/>
    <w:rsid w:val="00BF1D76"/>
    <w:rsid w:val="00BF73F3"/>
    <w:rsid w:val="00BF7907"/>
    <w:rsid w:val="00BF7A0A"/>
    <w:rsid w:val="00C0263D"/>
    <w:rsid w:val="00C03D81"/>
    <w:rsid w:val="00C047F9"/>
    <w:rsid w:val="00C065D1"/>
    <w:rsid w:val="00C07096"/>
    <w:rsid w:val="00C071F6"/>
    <w:rsid w:val="00C07C9E"/>
    <w:rsid w:val="00C07D27"/>
    <w:rsid w:val="00C07FB3"/>
    <w:rsid w:val="00C145FE"/>
    <w:rsid w:val="00C15DD0"/>
    <w:rsid w:val="00C20023"/>
    <w:rsid w:val="00C2015E"/>
    <w:rsid w:val="00C2042B"/>
    <w:rsid w:val="00C2121F"/>
    <w:rsid w:val="00C2235C"/>
    <w:rsid w:val="00C25E44"/>
    <w:rsid w:val="00C2610F"/>
    <w:rsid w:val="00C2677C"/>
    <w:rsid w:val="00C26AC7"/>
    <w:rsid w:val="00C27932"/>
    <w:rsid w:val="00C31DE4"/>
    <w:rsid w:val="00C33A7F"/>
    <w:rsid w:val="00C34073"/>
    <w:rsid w:val="00C34206"/>
    <w:rsid w:val="00C379F1"/>
    <w:rsid w:val="00C37B79"/>
    <w:rsid w:val="00C406C4"/>
    <w:rsid w:val="00C4707E"/>
    <w:rsid w:val="00C4757B"/>
    <w:rsid w:val="00C5075D"/>
    <w:rsid w:val="00C53CCF"/>
    <w:rsid w:val="00C57408"/>
    <w:rsid w:val="00C61A62"/>
    <w:rsid w:val="00C6213B"/>
    <w:rsid w:val="00C62BE7"/>
    <w:rsid w:val="00C62E89"/>
    <w:rsid w:val="00C65481"/>
    <w:rsid w:val="00C65ED3"/>
    <w:rsid w:val="00C66044"/>
    <w:rsid w:val="00C714C9"/>
    <w:rsid w:val="00C74F41"/>
    <w:rsid w:val="00C762F5"/>
    <w:rsid w:val="00C77125"/>
    <w:rsid w:val="00C77587"/>
    <w:rsid w:val="00C8031D"/>
    <w:rsid w:val="00C80CEE"/>
    <w:rsid w:val="00C80FFA"/>
    <w:rsid w:val="00C810C4"/>
    <w:rsid w:val="00C81821"/>
    <w:rsid w:val="00C82EDB"/>
    <w:rsid w:val="00C858B4"/>
    <w:rsid w:val="00C864B3"/>
    <w:rsid w:val="00C87B4B"/>
    <w:rsid w:val="00C87B96"/>
    <w:rsid w:val="00C9111C"/>
    <w:rsid w:val="00C91B3E"/>
    <w:rsid w:val="00C92347"/>
    <w:rsid w:val="00CA29E9"/>
    <w:rsid w:val="00CA2D81"/>
    <w:rsid w:val="00CA3976"/>
    <w:rsid w:val="00CA3C8D"/>
    <w:rsid w:val="00CA63E9"/>
    <w:rsid w:val="00CA7829"/>
    <w:rsid w:val="00CA7EEA"/>
    <w:rsid w:val="00CB4C19"/>
    <w:rsid w:val="00CB642D"/>
    <w:rsid w:val="00CC11B9"/>
    <w:rsid w:val="00CC2020"/>
    <w:rsid w:val="00CC37FF"/>
    <w:rsid w:val="00CC4B8A"/>
    <w:rsid w:val="00CD154E"/>
    <w:rsid w:val="00CD1831"/>
    <w:rsid w:val="00CE2374"/>
    <w:rsid w:val="00CE458E"/>
    <w:rsid w:val="00CF12E3"/>
    <w:rsid w:val="00CF18E2"/>
    <w:rsid w:val="00CF1F61"/>
    <w:rsid w:val="00CF4E4A"/>
    <w:rsid w:val="00CF5C61"/>
    <w:rsid w:val="00CF7339"/>
    <w:rsid w:val="00D027D9"/>
    <w:rsid w:val="00D037C0"/>
    <w:rsid w:val="00D04781"/>
    <w:rsid w:val="00D047FF"/>
    <w:rsid w:val="00D06F87"/>
    <w:rsid w:val="00D10153"/>
    <w:rsid w:val="00D12AD5"/>
    <w:rsid w:val="00D13D67"/>
    <w:rsid w:val="00D163F7"/>
    <w:rsid w:val="00D2201B"/>
    <w:rsid w:val="00D22423"/>
    <w:rsid w:val="00D22B5F"/>
    <w:rsid w:val="00D30518"/>
    <w:rsid w:val="00D32250"/>
    <w:rsid w:val="00D330FD"/>
    <w:rsid w:val="00D33F7B"/>
    <w:rsid w:val="00D35BF4"/>
    <w:rsid w:val="00D3617F"/>
    <w:rsid w:val="00D36F4F"/>
    <w:rsid w:val="00D40560"/>
    <w:rsid w:val="00D40E46"/>
    <w:rsid w:val="00D418C4"/>
    <w:rsid w:val="00D423E4"/>
    <w:rsid w:val="00D43C95"/>
    <w:rsid w:val="00D44277"/>
    <w:rsid w:val="00D444EA"/>
    <w:rsid w:val="00D45819"/>
    <w:rsid w:val="00D479B7"/>
    <w:rsid w:val="00D50A5B"/>
    <w:rsid w:val="00D522BB"/>
    <w:rsid w:val="00D54DE9"/>
    <w:rsid w:val="00D5526C"/>
    <w:rsid w:val="00D6017C"/>
    <w:rsid w:val="00D62295"/>
    <w:rsid w:val="00D638C3"/>
    <w:rsid w:val="00D63E85"/>
    <w:rsid w:val="00D64F31"/>
    <w:rsid w:val="00D67359"/>
    <w:rsid w:val="00D6786B"/>
    <w:rsid w:val="00D71084"/>
    <w:rsid w:val="00D710EE"/>
    <w:rsid w:val="00D74085"/>
    <w:rsid w:val="00D77031"/>
    <w:rsid w:val="00D80D02"/>
    <w:rsid w:val="00D80EE2"/>
    <w:rsid w:val="00D81C06"/>
    <w:rsid w:val="00D8505A"/>
    <w:rsid w:val="00D85D5C"/>
    <w:rsid w:val="00D875BC"/>
    <w:rsid w:val="00D87AA1"/>
    <w:rsid w:val="00D90B0E"/>
    <w:rsid w:val="00D90BEF"/>
    <w:rsid w:val="00D92BF3"/>
    <w:rsid w:val="00D94413"/>
    <w:rsid w:val="00D948B9"/>
    <w:rsid w:val="00DA406B"/>
    <w:rsid w:val="00DA409B"/>
    <w:rsid w:val="00DA5F88"/>
    <w:rsid w:val="00DB17AA"/>
    <w:rsid w:val="00DB2047"/>
    <w:rsid w:val="00DB2E8B"/>
    <w:rsid w:val="00DB3D91"/>
    <w:rsid w:val="00DB483E"/>
    <w:rsid w:val="00DC035C"/>
    <w:rsid w:val="00DC3801"/>
    <w:rsid w:val="00DC46B4"/>
    <w:rsid w:val="00DC6CA9"/>
    <w:rsid w:val="00DD07E8"/>
    <w:rsid w:val="00DD19B8"/>
    <w:rsid w:val="00DD266A"/>
    <w:rsid w:val="00DD39B1"/>
    <w:rsid w:val="00DD65CD"/>
    <w:rsid w:val="00DD6C28"/>
    <w:rsid w:val="00DD766B"/>
    <w:rsid w:val="00DE084D"/>
    <w:rsid w:val="00DE121B"/>
    <w:rsid w:val="00DE158A"/>
    <w:rsid w:val="00DE1E8D"/>
    <w:rsid w:val="00DE337B"/>
    <w:rsid w:val="00DE3633"/>
    <w:rsid w:val="00DE4DC1"/>
    <w:rsid w:val="00DE71C7"/>
    <w:rsid w:val="00DE7A80"/>
    <w:rsid w:val="00DF03FF"/>
    <w:rsid w:val="00DF0CC1"/>
    <w:rsid w:val="00DF4402"/>
    <w:rsid w:val="00DF575E"/>
    <w:rsid w:val="00DF66BB"/>
    <w:rsid w:val="00DF7468"/>
    <w:rsid w:val="00DF7852"/>
    <w:rsid w:val="00E00962"/>
    <w:rsid w:val="00E00CA2"/>
    <w:rsid w:val="00E032CA"/>
    <w:rsid w:val="00E0413F"/>
    <w:rsid w:val="00E114CD"/>
    <w:rsid w:val="00E1150C"/>
    <w:rsid w:val="00E132C4"/>
    <w:rsid w:val="00E13462"/>
    <w:rsid w:val="00E1372F"/>
    <w:rsid w:val="00E17BC6"/>
    <w:rsid w:val="00E2236E"/>
    <w:rsid w:val="00E22649"/>
    <w:rsid w:val="00E2382B"/>
    <w:rsid w:val="00E25104"/>
    <w:rsid w:val="00E2609A"/>
    <w:rsid w:val="00E26DB7"/>
    <w:rsid w:val="00E27869"/>
    <w:rsid w:val="00E37CCF"/>
    <w:rsid w:val="00E4703C"/>
    <w:rsid w:val="00E56945"/>
    <w:rsid w:val="00E56AFB"/>
    <w:rsid w:val="00E601CE"/>
    <w:rsid w:val="00E616E0"/>
    <w:rsid w:val="00E64228"/>
    <w:rsid w:val="00E65AA7"/>
    <w:rsid w:val="00E7129C"/>
    <w:rsid w:val="00E7131D"/>
    <w:rsid w:val="00E71E60"/>
    <w:rsid w:val="00E74B45"/>
    <w:rsid w:val="00E75BFA"/>
    <w:rsid w:val="00E7609F"/>
    <w:rsid w:val="00E766F4"/>
    <w:rsid w:val="00E76894"/>
    <w:rsid w:val="00E77041"/>
    <w:rsid w:val="00E80724"/>
    <w:rsid w:val="00E83680"/>
    <w:rsid w:val="00E86587"/>
    <w:rsid w:val="00E90474"/>
    <w:rsid w:val="00E91BE2"/>
    <w:rsid w:val="00E91C32"/>
    <w:rsid w:val="00E92041"/>
    <w:rsid w:val="00E92FEC"/>
    <w:rsid w:val="00E94370"/>
    <w:rsid w:val="00EA0D41"/>
    <w:rsid w:val="00EA0DC6"/>
    <w:rsid w:val="00EA2112"/>
    <w:rsid w:val="00EA5086"/>
    <w:rsid w:val="00EA7C7D"/>
    <w:rsid w:val="00EB1F1A"/>
    <w:rsid w:val="00EB3442"/>
    <w:rsid w:val="00EB3BF9"/>
    <w:rsid w:val="00EB3E17"/>
    <w:rsid w:val="00EB4CA6"/>
    <w:rsid w:val="00EB66DE"/>
    <w:rsid w:val="00EB7ED3"/>
    <w:rsid w:val="00EC054E"/>
    <w:rsid w:val="00EC05AD"/>
    <w:rsid w:val="00EC13E7"/>
    <w:rsid w:val="00EC7B43"/>
    <w:rsid w:val="00EC7B6F"/>
    <w:rsid w:val="00ED2D75"/>
    <w:rsid w:val="00ED3691"/>
    <w:rsid w:val="00EE108B"/>
    <w:rsid w:val="00EE5812"/>
    <w:rsid w:val="00EE60EA"/>
    <w:rsid w:val="00EE64ED"/>
    <w:rsid w:val="00EE66F6"/>
    <w:rsid w:val="00EE6D10"/>
    <w:rsid w:val="00EF0FD0"/>
    <w:rsid w:val="00EF7156"/>
    <w:rsid w:val="00F002B6"/>
    <w:rsid w:val="00F055E2"/>
    <w:rsid w:val="00F124F7"/>
    <w:rsid w:val="00F12D91"/>
    <w:rsid w:val="00F140AC"/>
    <w:rsid w:val="00F154FF"/>
    <w:rsid w:val="00F1735A"/>
    <w:rsid w:val="00F17FBE"/>
    <w:rsid w:val="00F21927"/>
    <w:rsid w:val="00F22DF8"/>
    <w:rsid w:val="00F23D0C"/>
    <w:rsid w:val="00F249EF"/>
    <w:rsid w:val="00F2679B"/>
    <w:rsid w:val="00F271F2"/>
    <w:rsid w:val="00F30B45"/>
    <w:rsid w:val="00F32391"/>
    <w:rsid w:val="00F32CB5"/>
    <w:rsid w:val="00F333AA"/>
    <w:rsid w:val="00F358AC"/>
    <w:rsid w:val="00F36025"/>
    <w:rsid w:val="00F37253"/>
    <w:rsid w:val="00F41266"/>
    <w:rsid w:val="00F42F5A"/>
    <w:rsid w:val="00F463FB"/>
    <w:rsid w:val="00F50EE4"/>
    <w:rsid w:val="00F51B5E"/>
    <w:rsid w:val="00F54151"/>
    <w:rsid w:val="00F54D92"/>
    <w:rsid w:val="00F55389"/>
    <w:rsid w:val="00F57143"/>
    <w:rsid w:val="00F5752A"/>
    <w:rsid w:val="00F6010D"/>
    <w:rsid w:val="00F601DC"/>
    <w:rsid w:val="00F64055"/>
    <w:rsid w:val="00F67B17"/>
    <w:rsid w:val="00F75657"/>
    <w:rsid w:val="00F82099"/>
    <w:rsid w:val="00F9070F"/>
    <w:rsid w:val="00F90831"/>
    <w:rsid w:val="00F92335"/>
    <w:rsid w:val="00FA4098"/>
    <w:rsid w:val="00FA57BC"/>
    <w:rsid w:val="00FA58D3"/>
    <w:rsid w:val="00FA6643"/>
    <w:rsid w:val="00FA7FE6"/>
    <w:rsid w:val="00FB0586"/>
    <w:rsid w:val="00FB255C"/>
    <w:rsid w:val="00FB4BA5"/>
    <w:rsid w:val="00FB5674"/>
    <w:rsid w:val="00FB6039"/>
    <w:rsid w:val="00FB7611"/>
    <w:rsid w:val="00FC2B14"/>
    <w:rsid w:val="00FC2E00"/>
    <w:rsid w:val="00FC34A3"/>
    <w:rsid w:val="00FC5807"/>
    <w:rsid w:val="00FC7B4C"/>
    <w:rsid w:val="00FD0231"/>
    <w:rsid w:val="00FD28E9"/>
    <w:rsid w:val="00FD3B27"/>
    <w:rsid w:val="00FE475D"/>
    <w:rsid w:val="00FE4A79"/>
    <w:rsid w:val="00FE4FC7"/>
    <w:rsid w:val="00FF0945"/>
    <w:rsid w:val="00FF2C46"/>
    <w:rsid w:val="00FF3C5C"/>
    <w:rsid w:val="00FF48E5"/>
    <w:rsid w:val="00FF4995"/>
    <w:rsid w:val="00FF5EA3"/>
    <w:rsid w:val="00FF6682"/>
    <w:rsid w:val="541F656F"/>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3892C4"/>
  <w15:chartTrackingRefBased/>
  <w15:docId w15:val="{21FDBC74-0576-4EDE-9E4C-A4868C38E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H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註解方塊文字 字元"/>
    <w:rPr>
      <w:rFonts w:ascii="Cambria" w:eastAsia="PMingLiU" w:hAnsi="Cambria" w:cs="Mangal"/>
      <w:kern w:val="2"/>
      <w:sz w:val="18"/>
      <w:szCs w:val="18"/>
      <w:lang w:eastAsia="zh-CN" w:bidi="ar-SA"/>
    </w:rPr>
  </w:style>
  <w:style w:type="character" w:customStyle="1" w:styleId="a4">
    <w:name w:val="批注文字 字符"/>
    <w:link w:val="a5"/>
    <w:uiPriority w:val="99"/>
    <w:semiHidden/>
    <w:rPr>
      <w:kern w:val="2"/>
      <w:sz w:val="21"/>
      <w:lang w:eastAsia="zh-CN"/>
    </w:rPr>
  </w:style>
  <w:style w:type="character" w:customStyle="1" w:styleId="a6">
    <w:name w:val="批注主题 字符"/>
    <w:link w:val="a7"/>
    <w:uiPriority w:val="99"/>
    <w:semiHidden/>
    <w:rPr>
      <w:b/>
      <w:bCs/>
      <w:kern w:val="2"/>
      <w:sz w:val="21"/>
      <w:lang w:eastAsia="zh-CN"/>
    </w:rPr>
  </w:style>
  <w:style w:type="character" w:customStyle="1" w:styleId="a8">
    <w:name w:val="页脚 字符"/>
    <w:link w:val="a9"/>
    <w:uiPriority w:val="99"/>
    <w:rPr>
      <w:kern w:val="2"/>
      <w:sz w:val="18"/>
      <w:lang w:eastAsia="zh-CN"/>
    </w:rPr>
  </w:style>
  <w:style w:type="character" w:customStyle="1" w:styleId="aa">
    <w:name w:val="脚注文本 字符"/>
    <w:link w:val="ab"/>
    <w:uiPriority w:val="99"/>
    <w:rPr>
      <w:rFonts w:eastAsia="PMingLiU"/>
      <w:lang w:val="en-GB" w:eastAsia="zh-TW"/>
    </w:rPr>
  </w:style>
  <w:style w:type="character" w:styleId="ac">
    <w:name w:val="Hyperlink"/>
    <w:semiHidden/>
    <w:rPr>
      <w:color w:val="0000FF"/>
      <w:u w:val="single"/>
    </w:rPr>
  </w:style>
  <w:style w:type="character" w:styleId="ad">
    <w:name w:val="Strong"/>
    <w:uiPriority w:val="22"/>
    <w:qFormat/>
    <w:rPr>
      <w:b/>
      <w:bCs/>
    </w:rPr>
  </w:style>
  <w:style w:type="character" w:styleId="ae">
    <w:name w:val="annotation reference"/>
    <w:uiPriority w:val="99"/>
    <w:unhideWhenUsed/>
    <w:rPr>
      <w:sz w:val="18"/>
      <w:szCs w:val="18"/>
    </w:rPr>
  </w:style>
  <w:style w:type="character" w:styleId="af">
    <w:name w:val="footnote reference"/>
    <w:uiPriority w:val="99"/>
    <w:qFormat/>
    <w:rPr>
      <w:vertAlign w:val="superscript"/>
    </w:rPr>
  </w:style>
  <w:style w:type="character" w:customStyle="1" w:styleId="Char1">
    <w:name w:val="脚注文本 Char1"/>
    <w:uiPriority w:val="99"/>
    <w:semiHidden/>
    <w:rPr>
      <w:kern w:val="2"/>
      <w:sz w:val="18"/>
      <w:szCs w:val="18"/>
    </w:rPr>
  </w:style>
  <w:style w:type="paragraph" w:styleId="af0">
    <w:name w:val="Balloon Text"/>
    <w:basedOn w:val="a"/>
    <w:semiHidden/>
    <w:rPr>
      <w:rFonts w:ascii="Arial" w:eastAsia="PMingLiU" w:hAnsi="Arial"/>
      <w:sz w:val="18"/>
      <w:szCs w:val="18"/>
    </w:rPr>
  </w:style>
  <w:style w:type="paragraph" w:styleId="ab">
    <w:name w:val="footnote text"/>
    <w:basedOn w:val="a"/>
    <w:link w:val="aa"/>
    <w:uiPriority w:val="99"/>
    <w:qFormat/>
    <w:pPr>
      <w:widowControl/>
      <w:snapToGrid w:val="0"/>
      <w:jc w:val="left"/>
    </w:pPr>
    <w:rPr>
      <w:rFonts w:eastAsia="PMingLiU"/>
      <w:kern w:val="0"/>
      <w:sz w:val="20"/>
      <w:lang w:val="en-GB" w:eastAsia="zh-TW"/>
    </w:rPr>
  </w:style>
  <w:style w:type="paragraph" w:styleId="a7">
    <w:name w:val="annotation subject"/>
    <w:basedOn w:val="a5"/>
    <w:next w:val="a5"/>
    <w:link w:val="a6"/>
    <w:uiPriority w:val="99"/>
    <w:unhideWhenUsed/>
    <w:rPr>
      <w:b/>
      <w:bCs/>
    </w:rPr>
  </w:style>
  <w:style w:type="paragraph" w:styleId="af1">
    <w:name w:val="List Paragraph"/>
    <w:basedOn w:val="a"/>
    <w:uiPriority w:val="34"/>
    <w:qFormat/>
    <w:pPr>
      <w:ind w:leftChars="200" w:left="480"/>
    </w:pPr>
  </w:style>
  <w:style w:type="paragraph" w:styleId="af2">
    <w:name w:val="Normal (Web)"/>
    <w:basedOn w:val="a"/>
    <w:semiHidden/>
    <w:pPr>
      <w:widowControl/>
      <w:spacing w:before="100" w:beforeAutospacing="1" w:after="100" w:afterAutospacing="1"/>
      <w:ind w:firstLine="400"/>
    </w:pPr>
    <w:rPr>
      <w:rFonts w:ascii="Times New Roman" w:hAnsi="Times New Roman"/>
      <w:color w:val="4D4D4D"/>
      <w:sz w:val="20"/>
    </w:rPr>
  </w:style>
  <w:style w:type="paragraph" w:styleId="af3">
    <w:name w:val="header"/>
    <w:basedOn w:val="a"/>
    <w:semiHidden/>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9">
    <w:name w:val="footer"/>
    <w:basedOn w:val="a"/>
    <w:link w:val="a8"/>
    <w:uiPriority w:val="99"/>
    <w:pPr>
      <w:tabs>
        <w:tab w:val="center" w:pos="4153"/>
        <w:tab w:val="right" w:pos="8306"/>
      </w:tabs>
      <w:snapToGrid w:val="0"/>
      <w:jc w:val="left"/>
    </w:pPr>
    <w:rPr>
      <w:sz w:val="18"/>
    </w:rPr>
  </w:style>
  <w:style w:type="paragraph" w:styleId="a5">
    <w:name w:val="annotation text"/>
    <w:basedOn w:val="a"/>
    <w:link w:val="a4"/>
    <w:uiPriority w:val="99"/>
    <w:unhideWhenUsed/>
    <w:pPr>
      <w:jc w:val="left"/>
    </w:pPr>
  </w:style>
  <w:style w:type="paragraph" w:styleId="af4">
    <w:name w:val="Revision"/>
    <w:uiPriority w:val="99"/>
    <w:semiHidden/>
    <w:rPr>
      <w:kern w:val="2"/>
      <w:sz w:val="21"/>
      <w:lang w:val="en-US"/>
    </w:rPr>
  </w:style>
  <w:style w:type="paragraph" w:customStyle="1" w:styleId="Default">
    <w:name w:val="Default"/>
    <w:uiPriority w:val="99"/>
    <w:pPr>
      <w:widowControl w:val="0"/>
      <w:autoSpaceDE w:val="0"/>
      <w:autoSpaceDN w:val="0"/>
      <w:adjustRightInd w:val="0"/>
    </w:pPr>
    <w:rPr>
      <w:rFonts w:ascii="华文楷体" w:eastAsia="Times New Roman" w:cs="华文楷体"/>
      <w:color w:val="000000"/>
      <w:sz w:val="24"/>
      <w:szCs w:val="24"/>
      <w:lang w:val="en-US" w:eastAsia="zh-TW"/>
    </w:rPr>
  </w:style>
  <w:style w:type="paragraph" w:customStyle="1" w:styleId="1">
    <w:name w:val="註解方塊文字1"/>
    <w:basedOn w:val="a"/>
    <w:rPr>
      <w:rFonts w:ascii="Cambria" w:eastAsia="PMingLiU" w:hAnsi="Cambria" w:cs="Mangal"/>
      <w:sz w:val="18"/>
      <w:szCs w:val="18"/>
    </w:rPr>
  </w:style>
  <w:style w:type="paragraph" w:styleId="af5">
    <w:name w:val="endnote text"/>
    <w:basedOn w:val="a"/>
    <w:link w:val="af6"/>
    <w:uiPriority w:val="99"/>
    <w:semiHidden/>
    <w:unhideWhenUsed/>
    <w:rsid w:val="00C762F5"/>
    <w:rPr>
      <w:sz w:val="20"/>
    </w:rPr>
  </w:style>
  <w:style w:type="character" w:customStyle="1" w:styleId="af6">
    <w:name w:val="尾注文本 字符"/>
    <w:link w:val="af5"/>
    <w:uiPriority w:val="99"/>
    <w:semiHidden/>
    <w:rsid w:val="00C762F5"/>
    <w:rPr>
      <w:kern w:val="2"/>
      <w:lang w:val="en-US"/>
    </w:rPr>
  </w:style>
  <w:style w:type="character" w:styleId="af7">
    <w:name w:val="endnote reference"/>
    <w:uiPriority w:val="99"/>
    <w:semiHidden/>
    <w:unhideWhenUsed/>
    <w:rsid w:val="00C762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9302">
      <w:bodyDiv w:val="1"/>
      <w:marLeft w:val="0"/>
      <w:marRight w:val="0"/>
      <w:marTop w:val="0"/>
      <w:marBottom w:val="0"/>
      <w:divBdr>
        <w:top w:val="none" w:sz="0" w:space="0" w:color="auto"/>
        <w:left w:val="none" w:sz="0" w:space="0" w:color="auto"/>
        <w:bottom w:val="none" w:sz="0" w:space="0" w:color="auto"/>
        <w:right w:val="none" w:sz="0" w:space="0" w:color="auto"/>
      </w:divBdr>
    </w:div>
    <w:div w:id="46800730">
      <w:bodyDiv w:val="1"/>
      <w:marLeft w:val="0"/>
      <w:marRight w:val="0"/>
      <w:marTop w:val="0"/>
      <w:marBottom w:val="0"/>
      <w:divBdr>
        <w:top w:val="none" w:sz="0" w:space="0" w:color="auto"/>
        <w:left w:val="none" w:sz="0" w:space="0" w:color="auto"/>
        <w:bottom w:val="none" w:sz="0" w:space="0" w:color="auto"/>
        <w:right w:val="none" w:sz="0" w:space="0" w:color="auto"/>
      </w:divBdr>
    </w:div>
    <w:div w:id="98961860">
      <w:bodyDiv w:val="1"/>
      <w:marLeft w:val="0"/>
      <w:marRight w:val="0"/>
      <w:marTop w:val="0"/>
      <w:marBottom w:val="0"/>
      <w:divBdr>
        <w:top w:val="none" w:sz="0" w:space="0" w:color="auto"/>
        <w:left w:val="none" w:sz="0" w:space="0" w:color="auto"/>
        <w:bottom w:val="none" w:sz="0" w:space="0" w:color="auto"/>
        <w:right w:val="none" w:sz="0" w:space="0" w:color="auto"/>
      </w:divBdr>
    </w:div>
    <w:div w:id="632760202">
      <w:bodyDiv w:val="1"/>
      <w:marLeft w:val="0"/>
      <w:marRight w:val="0"/>
      <w:marTop w:val="0"/>
      <w:marBottom w:val="0"/>
      <w:divBdr>
        <w:top w:val="none" w:sz="0" w:space="0" w:color="auto"/>
        <w:left w:val="none" w:sz="0" w:space="0" w:color="auto"/>
        <w:bottom w:val="none" w:sz="0" w:space="0" w:color="auto"/>
        <w:right w:val="none" w:sz="0" w:space="0" w:color="auto"/>
      </w:divBdr>
    </w:div>
    <w:div w:id="8489828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CE0B5-F9F0-4E4B-B3C0-71AB4D7B2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926</Words>
  <Characters>5279</Characters>
  <Application>Microsoft Office Word</Application>
  <DocSecurity>0</DocSecurity>
  <PresentationFormat/>
  <Lines>43</Lines>
  <Paragraphs>12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The best and safe quality of a good product.</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best and safe quality of a good product.</dc:title>
  <dc:subject/>
  <dc:creator>CMB</dc:creator>
  <cp:keywords/>
  <cp:lastModifiedBy>Vivian Wang</cp:lastModifiedBy>
  <cp:revision>2</cp:revision>
  <cp:lastPrinted>2019-08-23T09:14:00Z</cp:lastPrinted>
  <dcterms:created xsi:type="dcterms:W3CDTF">2024-10-29T04:32:00Z</dcterms:created>
  <dcterms:modified xsi:type="dcterms:W3CDTF">2024-10-29T04:32:00Z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