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AD52" w14:textId="77777777" w:rsidR="00036BFF" w:rsidRDefault="00036BFF" w:rsidP="00A96740">
      <w:pPr>
        <w:spacing w:line="360" w:lineRule="auto"/>
        <w:jc w:val="center"/>
        <w:rPr>
          <w:rFonts w:ascii="方正黑体" w:eastAsia="方正黑体" w:hAnsi="仿宋" w:cs="Arial" w:hint="eastAsia"/>
          <w:b/>
          <w:sz w:val="40"/>
          <w:szCs w:val="32"/>
        </w:rPr>
      </w:pPr>
      <w:r w:rsidRPr="00036BFF">
        <w:rPr>
          <w:rFonts w:ascii="方正黑体" w:eastAsia="方正黑体" w:hAnsi="仿宋" w:cs="Arial" w:hint="eastAsia"/>
          <w:b/>
          <w:sz w:val="40"/>
          <w:szCs w:val="32"/>
        </w:rPr>
        <w:t>招商银行2024年度业绩</w:t>
      </w:r>
      <w:r w:rsidRPr="00E16476">
        <w:rPr>
          <w:rFonts w:ascii="方正黑体" w:eastAsia="方正黑体" w:hAnsi="仿宋" w:cs="Arial" w:hint="eastAsia"/>
          <w:b/>
          <w:sz w:val="40"/>
          <w:szCs w:val="32"/>
        </w:rPr>
        <w:t>数据摘要</w:t>
      </w:r>
    </w:p>
    <w:p w14:paraId="7278ECBE" w14:textId="77777777" w:rsidR="00147C20" w:rsidRPr="008E485B" w:rsidRDefault="00147C20" w:rsidP="008E485B">
      <w:pPr>
        <w:ind w:rightChars="-162" w:right="-340" w:firstLineChars="200" w:firstLine="480"/>
        <w:rPr>
          <w:rFonts w:ascii="仿宋" w:eastAsia="仿宋" w:hAnsi="仿宋" w:cs="Arial" w:hint="eastAsia"/>
          <w:sz w:val="24"/>
          <w:szCs w:val="30"/>
        </w:rPr>
      </w:pPr>
    </w:p>
    <w:p w14:paraId="241F1994" w14:textId="77777777" w:rsidR="00DB4696" w:rsidRPr="00E16476" w:rsidRDefault="00DB4696" w:rsidP="00147C20">
      <w:pPr>
        <w:ind w:rightChars="-162" w:right="-340" w:firstLineChars="200" w:firstLine="482"/>
        <w:rPr>
          <w:rFonts w:ascii="仿宋" w:eastAsia="仿宋" w:hAnsi="仿宋" w:cs="Arial" w:hint="eastAsia"/>
          <w:sz w:val="24"/>
          <w:szCs w:val="30"/>
        </w:rPr>
      </w:pPr>
      <w:r w:rsidRPr="008E485B">
        <w:rPr>
          <w:rFonts w:ascii="仿宋" w:eastAsia="仿宋" w:hAnsi="仿宋" w:cs="Arial" w:hint="eastAsia"/>
          <w:b/>
          <w:sz w:val="24"/>
          <w:szCs w:val="30"/>
        </w:rPr>
        <w:t>2025年3月25日</w:t>
      </w:r>
      <w:r w:rsidRPr="00E16476">
        <w:rPr>
          <w:rFonts w:ascii="仿宋" w:eastAsia="仿宋" w:hAnsi="仿宋" w:cs="Arial" w:hint="eastAsia"/>
          <w:sz w:val="24"/>
          <w:szCs w:val="30"/>
        </w:rPr>
        <w:t xml:space="preserve"> ─ 招商银行（“招行”或“本公司”；上海：600036；香港：3968；连同其附属公司合称“本集团”），今天公布2024年度业绩。</w:t>
      </w:r>
      <w:r w:rsidR="008A68E6" w:rsidRPr="00E16476">
        <w:rPr>
          <w:rFonts w:ascii="仿宋" w:eastAsia="仿宋" w:hAnsi="仿宋" w:cs="Arial" w:hint="eastAsia"/>
          <w:sz w:val="24"/>
          <w:szCs w:val="30"/>
        </w:rPr>
        <w:t>主要</w:t>
      </w:r>
      <w:r w:rsidR="00493C23">
        <w:rPr>
          <w:rFonts w:ascii="仿宋" w:eastAsia="仿宋" w:hAnsi="仿宋" w:cs="Arial" w:hint="eastAsia"/>
          <w:sz w:val="24"/>
          <w:szCs w:val="30"/>
        </w:rPr>
        <w:t>业绩</w:t>
      </w:r>
      <w:r w:rsidR="008A68E6" w:rsidRPr="00E16476">
        <w:rPr>
          <w:rFonts w:ascii="仿宋" w:eastAsia="仿宋" w:hAnsi="仿宋" w:cs="Arial" w:hint="eastAsia"/>
          <w:sz w:val="24"/>
          <w:szCs w:val="30"/>
        </w:rPr>
        <w:t>数据摘要如下：</w:t>
      </w:r>
    </w:p>
    <w:p w14:paraId="5825139D" w14:textId="77777777" w:rsidR="00E00C46" w:rsidRPr="00E16476" w:rsidRDefault="00E00C46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</w:rPr>
      </w:pPr>
      <w:r w:rsidRPr="00E16476">
        <w:rPr>
          <w:rFonts w:ascii="仿宋" w:eastAsia="仿宋" w:hAnsi="仿宋" w:cs="Arial" w:hint="eastAsia"/>
          <w:b/>
          <w:sz w:val="24"/>
          <w:szCs w:val="30"/>
        </w:rPr>
        <w:t>有效应对多重挑战，经营业绩稳中向好</w:t>
      </w:r>
    </w:p>
    <w:p w14:paraId="216E4780" w14:textId="77777777" w:rsidR="00E00C46" w:rsidRPr="00E16476" w:rsidRDefault="00E00C46" w:rsidP="00147C20">
      <w:pPr>
        <w:pStyle w:val="a3"/>
        <w:numPr>
          <w:ilvl w:val="0"/>
          <w:numId w:val="6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营业收入3,374.88亿元，同比下降0.48% （H股：营业净收入3,371.21亿元，同比下降0.58%）；归属于本行股东的净利润1,483.91亿元，同比增长1.22%。</w:t>
      </w:r>
    </w:p>
    <w:p w14:paraId="1EB9CEB2" w14:textId="77777777" w:rsidR="00E00C46" w:rsidRPr="00E16476" w:rsidRDefault="00E00C46" w:rsidP="00147C20">
      <w:pPr>
        <w:pStyle w:val="a3"/>
        <w:numPr>
          <w:ilvl w:val="0"/>
          <w:numId w:val="6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ROAA 1.28%，ROAE 14.49%，同比分别下降0.11个百分点和1.73个百分点。</w:t>
      </w:r>
    </w:p>
    <w:p w14:paraId="593B4A4B" w14:textId="77777777" w:rsidR="00E00C46" w:rsidRPr="00E16476" w:rsidRDefault="00E00C46" w:rsidP="00147C20">
      <w:pPr>
        <w:pStyle w:val="a3"/>
        <w:numPr>
          <w:ilvl w:val="0"/>
          <w:numId w:val="6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净利息收入2,112.77亿元，同比下降1.58%；净利息收益率1.98%，同比下降0.17个百分点，保持较优水平。</w:t>
      </w:r>
    </w:p>
    <w:p w14:paraId="529E11F6" w14:textId="105A0DD2" w:rsidR="00E00C46" w:rsidRPr="00E16476" w:rsidRDefault="00E00C46" w:rsidP="00147C20">
      <w:pPr>
        <w:pStyle w:val="a3"/>
        <w:numPr>
          <w:ilvl w:val="0"/>
          <w:numId w:val="6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非利息净收入1,262.11亿元，同比增长1.41%（H股：非利息净收入1,258.44亿元，同比增长1.15%）。</w:t>
      </w:r>
    </w:p>
    <w:p w14:paraId="1523E7BB" w14:textId="77777777" w:rsidR="00E00C46" w:rsidRPr="00E16476" w:rsidRDefault="00E00C46" w:rsidP="00147C20">
      <w:pPr>
        <w:pStyle w:val="a3"/>
        <w:numPr>
          <w:ilvl w:val="0"/>
          <w:numId w:val="6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成本收入比31.89%，同比下降1.07个百分点（H股：成本收入比31.92%，同比下降1.05个百分点）。</w:t>
      </w:r>
    </w:p>
    <w:p w14:paraId="1D7DB0DA" w14:textId="77777777" w:rsidR="00E00C46" w:rsidRPr="00E16476" w:rsidRDefault="00E00C46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</w:rPr>
      </w:pPr>
      <w:r w:rsidRPr="00E16476">
        <w:rPr>
          <w:rFonts w:ascii="仿宋" w:eastAsia="仿宋" w:hAnsi="仿宋" w:cs="Arial" w:hint="eastAsia"/>
          <w:b/>
          <w:sz w:val="24"/>
          <w:szCs w:val="30"/>
        </w:rPr>
        <w:t>资产规模稳健增长，负债优势稳步提升</w:t>
      </w:r>
    </w:p>
    <w:p w14:paraId="79F64C58" w14:textId="77777777" w:rsidR="00E00C46" w:rsidRPr="00E16476" w:rsidRDefault="00E00C46" w:rsidP="00147C20">
      <w:pPr>
        <w:pStyle w:val="a3"/>
        <w:numPr>
          <w:ilvl w:val="0"/>
          <w:numId w:val="7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资产总额121,520.36亿元，较上年末增长10.19%；贷款和垫款总额68,883.15亿元，较上年末增长5.83%。</w:t>
      </w:r>
    </w:p>
    <w:p w14:paraId="78DBD22A" w14:textId="77777777" w:rsidR="00E00C46" w:rsidRPr="00E16476" w:rsidRDefault="00E00C46" w:rsidP="00147C20">
      <w:pPr>
        <w:pStyle w:val="a3"/>
        <w:numPr>
          <w:ilvl w:val="0"/>
          <w:numId w:val="7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负债总额109,185.61亿元，较上年末增长9.81%；客户存款总额90,965.87亿元，较上年末增长11.54%</w:t>
      </w:r>
      <w:r w:rsidR="008E2F67">
        <w:rPr>
          <w:rFonts w:ascii="仿宋" w:eastAsia="仿宋" w:hAnsi="仿宋" w:cs="Arial" w:hint="eastAsia"/>
          <w:sz w:val="24"/>
          <w:szCs w:val="30"/>
        </w:rPr>
        <w:t>；</w:t>
      </w:r>
      <w:r w:rsidRPr="00E16476">
        <w:rPr>
          <w:rFonts w:ascii="仿宋" w:eastAsia="仿宋" w:hAnsi="仿宋" w:cs="Arial" w:hint="eastAsia"/>
          <w:sz w:val="24"/>
          <w:szCs w:val="30"/>
        </w:rPr>
        <w:t>活期存款日均余额占比50.34%，保持行业较高水平</w:t>
      </w:r>
      <w:r w:rsidR="008E2F67">
        <w:rPr>
          <w:rFonts w:ascii="仿宋" w:eastAsia="仿宋" w:hAnsi="仿宋" w:cs="Arial" w:hint="eastAsia"/>
          <w:sz w:val="24"/>
          <w:szCs w:val="30"/>
        </w:rPr>
        <w:t>；</w:t>
      </w:r>
      <w:r w:rsidRPr="00E16476">
        <w:rPr>
          <w:rFonts w:ascii="仿宋" w:eastAsia="仿宋" w:hAnsi="仿宋" w:cs="Arial" w:hint="eastAsia"/>
          <w:sz w:val="24"/>
          <w:szCs w:val="30"/>
        </w:rPr>
        <w:t>计息负债平均成本率1.64%，同比下降9BPs，处于行业较优水平。</w:t>
      </w:r>
    </w:p>
    <w:p w14:paraId="241A7B63" w14:textId="77777777" w:rsidR="00E00C46" w:rsidRPr="00E16476" w:rsidRDefault="00E00C46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</w:rPr>
      </w:pPr>
      <w:r w:rsidRPr="00E16476">
        <w:rPr>
          <w:rFonts w:ascii="仿宋" w:eastAsia="仿宋" w:hAnsi="仿宋" w:cs="Arial" w:hint="eastAsia"/>
          <w:b/>
          <w:sz w:val="24"/>
          <w:szCs w:val="30"/>
        </w:rPr>
        <w:t>资产质量保持良好，风险抵补能力强健</w:t>
      </w:r>
    </w:p>
    <w:p w14:paraId="26FC4E9F" w14:textId="77777777" w:rsidR="00E00C46" w:rsidRPr="00E16476" w:rsidRDefault="00E00C46" w:rsidP="00147C20">
      <w:pPr>
        <w:pStyle w:val="a3"/>
        <w:numPr>
          <w:ilvl w:val="0"/>
          <w:numId w:val="8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不良贷款余额656.10亿元，较上年末增加40.31亿元；不良贷款率0.95%，与上年末持平。</w:t>
      </w:r>
    </w:p>
    <w:p w14:paraId="3860F271" w14:textId="77777777" w:rsidR="00E00C46" w:rsidRPr="00E16476" w:rsidRDefault="00E00C46" w:rsidP="00147C20">
      <w:pPr>
        <w:pStyle w:val="a3"/>
        <w:numPr>
          <w:ilvl w:val="0"/>
          <w:numId w:val="8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拨备覆盖率411.98%，较上年末下降25.72个百分点；贷款</w:t>
      </w:r>
      <w:proofErr w:type="gramStart"/>
      <w:r w:rsidRPr="00E16476">
        <w:rPr>
          <w:rFonts w:ascii="仿宋" w:eastAsia="仿宋" w:hAnsi="仿宋" w:cs="Arial" w:hint="eastAsia"/>
          <w:sz w:val="24"/>
          <w:szCs w:val="30"/>
        </w:rPr>
        <w:t>拨备率</w:t>
      </w:r>
      <w:proofErr w:type="gramEnd"/>
      <w:r w:rsidRPr="00E16476">
        <w:rPr>
          <w:rFonts w:ascii="仿宋" w:eastAsia="仿宋" w:hAnsi="仿宋" w:cs="Arial" w:hint="eastAsia"/>
          <w:sz w:val="24"/>
          <w:szCs w:val="30"/>
        </w:rPr>
        <w:t>3.92%，较上年末下降0.22个百分点。</w:t>
      </w:r>
    </w:p>
    <w:p w14:paraId="7A41BA3B" w14:textId="77777777" w:rsidR="00E00C46" w:rsidRPr="00E16476" w:rsidRDefault="00E00C46" w:rsidP="00147C20">
      <w:pPr>
        <w:pStyle w:val="a3"/>
        <w:numPr>
          <w:ilvl w:val="0"/>
          <w:numId w:val="8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信用成本0.65%，同比下降0.09个百分点。</w:t>
      </w:r>
    </w:p>
    <w:p w14:paraId="469259D3" w14:textId="77777777" w:rsidR="00E00C46" w:rsidRPr="00E16476" w:rsidRDefault="008728F1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</w:rPr>
      </w:pPr>
      <w:r>
        <w:rPr>
          <w:rFonts w:ascii="仿宋" w:eastAsia="仿宋" w:hAnsi="仿宋" w:cs="Arial" w:hint="eastAsia"/>
          <w:b/>
          <w:sz w:val="24"/>
          <w:szCs w:val="30"/>
        </w:rPr>
        <w:t>收入结构</w:t>
      </w:r>
      <w:r w:rsidR="00E00C46" w:rsidRPr="00E16476">
        <w:rPr>
          <w:rFonts w:ascii="仿宋" w:eastAsia="仿宋" w:hAnsi="仿宋" w:cs="Arial" w:hint="eastAsia"/>
          <w:b/>
          <w:sz w:val="24"/>
          <w:szCs w:val="30"/>
        </w:rPr>
        <w:t>持续</w:t>
      </w:r>
      <w:r>
        <w:rPr>
          <w:rFonts w:ascii="仿宋" w:eastAsia="仿宋" w:hAnsi="仿宋" w:cs="Arial" w:hint="eastAsia"/>
          <w:b/>
          <w:sz w:val="24"/>
          <w:szCs w:val="30"/>
        </w:rPr>
        <w:t>优化</w:t>
      </w:r>
      <w:r w:rsidR="00E00C46" w:rsidRPr="00E16476">
        <w:rPr>
          <w:rFonts w:ascii="仿宋" w:eastAsia="仿宋" w:hAnsi="仿宋" w:cs="Arial" w:hint="eastAsia"/>
          <w:b/>
          <w:sz w:val="24"/>
          <w:szCs w:val="30"/>
        </w:rPr>
        <w:t>，资本保持内生能力</w:t>
      </w:r>
    </w:p>
    <w:p w14:paraId="778CDF2C" w14:textId="77777777" w:rsidR="00E00C46" w:rsidRPr="00E16476" w:rsidRDefault="00E00C46" w:rsidP="00147C20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零售金融营业收入1,968.35亿元，同比增长1.29%，占本集团营业收入的58.32%（H股：零售金融营业净收入1,967.84亿元，同比增长1.27%，占本集团营业净收入的58.37%）。</w:t>
      </w:r>
    </w:p>
    <w:p w14:paraId="725A8DEC" w14:textId="77777777" w:rsidR="00E00C46" w:rsidRPr="00E16476" w:rsidRDefault="00E00C46" w:rsidP="00147C20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非利息净收入在营业收入中的占比为37.40%，同比上升0.70个百分点（H股：非利息净收入在营业净收入中的占比为37.33%，同比上升0.64个百分点），保持较好水平。</w:t>
      </w:r>
    </w:p>
    <w:p w14:paraId="17038927" w14:textId="69D0E86F" w:rsidR="00E00C46" w:rsidRPr="00E16476" w:rsidRDefault="00E00C46" w:rsidP="00147C20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2024年度现金分红预案为：现金分红率</w:t>
      </w:r>
      <w:r w:rsidR="00424DCB">
        <w:rPr>
          <w:rFonts w:ascii="仿宋" w:eastAsia="仿宋" w:hAnsi="仿宋" w:cs="Arial" w:hint="eastAsia"/>
          <w:sz w:val="24"/>
          <w:szCs w:val="30"/>
        </w:rPr>
        <w:t>保持在</w:t>
      </w:r>
      <w:r w:rsidRPr="00E16476">
        <w:rPr>
          <w:rFonts w:ascii="仿宋" w:eastAsia="仿宋" w:hAnsi="仿宋" w:cs="Arial" w:hint="eastAsia"/>
          <w:sz w:val="24"/>
          <w:szCs w:val="30"/>
        </w:rPr>
        <w:t>35%</w:t>
      </w:r>
      <w:r w:rsidR="00424DCB">
        <w:rPr>
          <w:rFonts w:ascii="仿宋" w:eastAsia="仿宋" w:hAnsi="仿宋" w:cs="Arial" w:hint="eastAsia"/>
          <w:sz w:val="24"/>
          <w:szCs w:val="30"/>
        </w:rPr>
        <w:t>以上</w:t>
      </w:r>
      <w:r w:rsidRPr="00E16476">
        <w:rPr>
          <w:rFonts w:ascii="仿宋" w:eastAsia="仿宋" w:hAnsi="仿宋" w:cs="Arial" w:hint="eastAsia"/>
          <w:sz w:val="24"/>
          <w:szCs w:val="30"/>
        </w:rPr>
        <w:t>，每股现金分红人民币2</w:t>
      </w:r>
      <w:r w:rsidR="00424DCB">
        <w:rPr>
          <w:rFonts w:ascii="仿宋" w:eastAsia="仿宋" w:hAnsi="仿宋" w:cs="Arial"/>
          <w:sz w:val="24"/>
          <w:szCs w:val="30"/>
        </w:rPr>
        <w:t>.000</w:t>
      </w:r>
      <w:r w:rsidRPr="00E16476">
        <w:rPr>
          <w:rFonts w:ascii="仿宋" w:eastAsia="仿宋" w:hAnsi="仿宋" w:cs="Arial" w:hint="eastAsia"/>
          <w:sz w:val="24"/>
          <w:szCs w:val="30"/>
        </w:rPr>
        <w:t>元（含税）。</w:t>
      </w:r>
    </w:p>
    <w:p w14:paraId="7DB15EBA" w14:textId="77777777" w:rsidR="008E05FB" w:rsidRPr="001345FB" w:rsidRDefault="00E00C46" w:rsidP="00147C20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18"/>
          <w:szCs w:val="24"/>
        </w:rPr>
      </w:pPr>
      <w:r w:rsidRPr="00E16476">
        <w:rPr>
          <w:rFonts w:ascii="仿宋" w:eastAsia="仿宋" w:hAnsi="仿宋" w:cs="Arial" w:hint="eastAsia"/>
          <w:sz w:val="24"/>
          <w:szCs w:val="30"/>
        </w:rPr>
        <w:t>高级法</w:t>
      </w:r>
      <w:proofErr w:type="gramStart"/>
      <w:r w:rsidRPr="00E16476">
        <w:rPr>
          <w:rFonts w:ascii="仿宋" w:eastAsia="仿宋" w:hAnsi="仿宋" w:cs="Arial" w:hint="eastAsia"/>
          <w:sz w:val="24"/>
          <w:szCs w:val="30"/>
        </w:rPr>
        <w:t>下核心</w:t>
      </w:r>
      <w:proofErr w:type="gramEnd"/>
      <w:r w:rsidRPr="00E16476">
        <w:rPr>
          <w:rFonts w:ascii="仿宋" w:eastAsia="仿宋" w:hAnsi="仿宋" w:cs="Arial" w:hint="eastAsia"/>
          <w:sz w:val="24"/>
          <w:szCs w:val="30"/>
        </w:rPr>
        <w:t>一级资本充足率、一级资本充足率和资本充足率分别为14.86%、17.48%和19.05%，较上年末分别上升1.13、1.47和1.17个百分点；权重法</w:t>
      </w:r>
      <w:proofErr w:type="gramStart"/>
      <w:r w:rsidRPr="00E16476">
        <w:rPr>
          <w:rFonts w:ascii="仿宋" w:eastAsia="仿宋" w:hAnsi="仿宋" w:cs="Arial" w:hint="eastAsia"/>
          <w:sz w:val="24"/>
          <w:szCs w:val="30"/>
        </w:rPr>
        <w:t>下</w:t>
      </w:r>
      <w:r w:rsidRPr="00E16476">
        <w:rPr>
          <w:rFonts w:ascii="仿宋" w:eastAsia="仿宋" w:hAnsi="仿宋" w:cs="Arial" w:hint="eastAsia"/>
          <w:sz w:val="24"/>
          <w:szCs w:val="30"/>
        </w:rPr>
        <w:lastRenderedPageBreak/>
        <w:t>核心</w:t>
      </w:r>
      <w:proofErr w:type="gramEnd"/>
      <w:r w:rsidRPr="00E16476">
        <w:rPr>
          <w:rFonts w:ascii="仿宋" w:eastAsia="仿宋" w:hAnsi="仿宋" w:cs="Arial" w:hint="eastAsia"/>
          <w:sz w:val="24"/>
          <w:szCs w:val="30"/>
        </w:rPr>
        <w:t>一级资本充足率、一级资本充足率和资本充足率分别为12.43%、14.63%和15.73%，较上年末分别上升0.57、0.81和0.77个百分点。</w:t>
      </w:r>
    </w:p>
    <w:p w14:paraId="188C034D" w14:textId="77777777" w:rsidR="00392080" w:rsidRPr="00392080" w:rsidRDefault="008728F1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</w:rPr>
      </w:pPr>
      <w:r>
        <w:rPr>
          <w:rFonts w:ascii="仿宋" w:eastAsia="仿宋" w:hAnsi="仿宋" w:cs="Arial" w:hint="eastAsia"/>
          <w:b/>
          <w:sz w:val="24"/>
          <w:szCs w:val="30"/>
        </w:rPr>
        <w:t>不断</w:t>
      </w:r>
      <w:r w:rsidR="00392080" w:rsidRPr="00392080">
        <w:rPr>
          <w:rFonts w:ascii="仿宋" w:eastAsia="仿宋" w:hAnsi="仿宋" w:cs="Arial" w:hint="eastAsia"/>
          <w:b/>
          <w:sz w:val="24"/>
          <w:szCs w:val="30"/>
        </w:rPr>
        <w:t>巩固</w:t>
      </w:r>
      <w:r>
        <w:rPr>
          <w:rFonts w:ascii="仿宋" w:eastAsia="仿宋" w:hAnsi="仿宋" w:cs="Arial" w:hint="eastAsia"/>
          <w:b/>
          <w:sz w:val="24"/>
          <w:szCs w:val="30"/>
        </w:rPr>
        <w:t>零售</w:t>
      </w:r>
      <w:r w:rsidR="00392080" w:rsidRPr="00392080">
        <w:rPr>
          <w:rFonts w:ascii="仿宋" w:eastAsia="仿宋" w:hAnsi="仿宋" w:cs="Arial" w:hint="eastAsia"/>
          <w:b/>
          <w:sz w:val="24"/>
          <w:szCs w:val="30"/>
        </w:rPr>
        <w:t>优势，四大板块</w:t>
      </w:r>
      <w:r>
        <w:rPr>
          <w:rFonts w:ascii="仿宋" w:eastAsia="仿宋" w:hAnsi="仿宋" w:cs="Arial" w:hint="eastAsia"/>
          <w:b/>
          <w:sz w:val="24"/>
          <w:szCs w:val="30"/>
        </w:rPr>
        <w:t>协调</w:t>
      </w:r>
      <w:r w:rsidR="00392080" w:rsidRPr="00392080">
        <w:rPr>
          <w:rFonts w:ascii="仿宋" w:eastAsia="仿宋" w:hAnsi="仿宋" w:cs="Arial" w:hint="eastAsia"/>
          <w:b/>
          <w:sz w:val="24"/>
          <w:szCs w:val="30"/>
        </w:rPr>
        <w:t>发展</w:t>
      </w:r>
    </w:p>
    <w:p w14:paraId="4E677305" w14:textId="77777777" w:rsidR="00392080" w:rsidRPr="00392080" w:rsidRDefault="006E53E4" w:rsidP="008E485B">
      <w:pPr>
        <w:pStyle w:val="a3"/>
        <w:numPr>
          <w:ilvl w:val="0"/>
          <w:numId w:val="10"/>
        </w:numPr>
        <w:spacing w:afterLines="20" w:after="62"/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>
        <w:rPr>
          <w:rFonts w:ascii="仿宋" w:eastAsia="仿宋" w:hAnsi="仿宋" w:cs="Arial" w:hint="eastAsia"/>
          <w:sz w:val="24"/>
          <w:szCs w:val="30"/>
        </w:rPr>
        <w:t>零售业务方面：</w:t>
      </w:r>
      <w:r w:rsidR="00392080" w:rsidRPr="00392080">
        <w:rPr>
          <w:rFonts w:ascii="仿宋" w:eastAsia="仿宋" w:hAnsi="仿宋" w:cs="Arial" w:hint="eastAsia"/>
          <w:sz w:val="24"/>
          <w:szCs w:val="30"/>
        </w:rPr>
        <w:t>零售客户总数2.10亿户，较上年末增长6.60%；管理零售客户总资产（AUM）余额14.93</w:t>
      </w:r>
      <w:proofErr w:type="gramStart"/>
      <w:r w:rsidR="00392080" w:rsidRPr="00392080">
        <w:rPr>
          <w:rFonts w:ascii="仿宋" w:eastAsia="仿宋" w:hAnsi="仿宋" w:cs="Arial" w:hint="eastAsia"/>
          <w:sz w:val="24"/>
          <w:szCs w:val="30"/>
        </w:rPr>
        <w:t>万亿</w:t>
      </w:r>
      <w:proofErr w:type="gramEnd"/>
      <w:r w:rsidR="00392080" w:rsidRPr="00392080">
        <w:rPr>
          <w:rFonts w:ascii="仿宋" w:eastAsia="仿宋" w:hAnsi="仿宋" w:cs="Arial" w:hint="eastAsia"/>
          <w:sz w:val="24"/>
          <w:szCs w:val="30"/>
        </w:rPr>
        <w:t>元，较上年末增长12.05%；零售贷款余额达35,779.19亿元，较上年末增长6.06%</w:t>
      </w:r>
      <w:r w:rsidR="006C65F8">
        <w:rPr>
          <w:rFonts w:ascii="仿宋" w:eastAsia="仿宋" w:hAnsi="仿宋" w:cs="Arial" w:hint="eastAsia"/>
          <w:sz w:val="24"/>
          <w:szCs w:val="30"/>
        </w:rPr>
        <w:t>；</w:t>
      </w:r>
      <w:r w:rsidR="006C65F8" w:rsidRPr="006C65F8">
        <w:rPr>
          <w:rFonts w:ascii="仿宋" w:eastAsia="仿宋" w:hAnsi="仿宋" w:cs="Arial" w:hint="eastAsia"/>
          <w:sz w:val="24"/>
          <w:szCs w:val="30"/>
        </w:rPr>
        <w:t>信用卡流通户6,944.09万户</w:t>
      </w:r>
      <w:r w:rsidR="006C65F8">
        <w:rPr>
          <w:rFonts w:ascii="仿宋" w:eastAsia="仿宋" w:hAnsi="仿宋" w:cs="Arial" w:hint="eastAsia"/>
          <w:sz w:val="24"/>
          <w:szCs w:val="30"/>
        </w:rPr>
        <w:t>，</w:t>
      </w:r>
      <w:r w:rsidR="006C65F8" w:rsidRPr="006C65F8">
        <w:rPr>
          <w:rFonts w:ascii="仿宋" w:eastAsia="仿宋" w:hAnsi="仿宋" w:cs="Arial" w:hint="eastAsia"/>
          <w:sz w:val="24"/>
          <w:szCs w:val="30"/>
        </w:rPr>
        <w:t>信用卡交易额44,185.59亿元</w:t>
      </w:r>
      <w:r w:rsidR="00392080" w:rsidRPr="00392080">
        <w:rPr>
          <w:rFonts w:ascii="仿宋" w:eastAsia="仿宋" w:hAnsi="仿宋" w:cs="Arial" w:hint="eastAsia"/>
          <w:sz w:val="24"/>
          <w:szCs w:val="30"/>
        </w:rPr>
        <w:t>。</w:t>
      </w:r>
    </w:p>
    <w:p w14:paraId="71B45CAE" w14:textId="77777777" w:rsidR="00392080" w:rsidRPr="00392080" w:rsidRDefault="006E53E4" w:rsidP="008E485B">
      <w:pPr>
        <w:pStyle w:val="a3"/>
        <w:numPr>
          <w:ilvl w:val="0"/>
          <w:numId w:val="10"/>
        </w:numPr>
        <w:spacing w:afterLines="20" w:after="62"/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>
        <w:rPr>
          <w:rFonts w:ascii="仿宋" w:eastAsia="仿宋" w:hAnsi="仿宋" w:cs="Arial" w:hint="eastAsia"/>
          <w:sz w:val="24"/>
          <w:szCs w:val="30"/>
        </w:rPr>
        <w:t>公司业务方面：</w:t>
      </w:r>
      <w:r w:rsidR="00392080" w:rsidRPr="00392080">
        <w:rPr>
          <w:rFonts w:ascii="仿宋" w:eastAsia="仿宋" w:hAnsi="仿宋" w:cs="Arial" w:hint="eastAsia"/>
          <w:sz w:val="24"/>
          <w:szCs w:val="30"/>
        </w:rPr>
        <w:t>公司客户总数达316.64万户，较上年末增长12.26%</w:t>
      </w:r>
      <w:r w:rsidR="00480F18">
        <w:rPr>
          <w:rFonts w:ascii="仿宋" w:eastAsia="仿宋" w:hAnsi="仿宋" w:cs="Arial" w:hint="eastAsia"/>
          <w:sz w:val="24"/>
          <w:szCs w:val="30"/>
        </w:rPr>
        <w:t>。</w:t>
      </w:r>
      <w:r w:rsidR="00480F18" w:rsidRPr="00480F18">
        <w:rPr>
          <w:rFonts w:ascii="仿宋" w:eastAsia="仿宋" w:hAnsi="仿宋" w:cs="Arial" w:hint="eastAsia"/>
          <w:bCs/>
          <w:sz w:val="24"/>
          <w:szCs w:val="30"/>
        </w:rPr>
        <w:t>公司客户融资总量（FPA）余额</w:t>
      </w:r>
      <w:r w:rsidR="00480F18" w:rsidRPr="00480F18">
        <w:rPr>
          <w:rFonts w:ascii="仿宋" w:eastAsia="仿宋" w:hAnsi="仿宋" w:cs="Arial"/>
          <w:sz w:val="24"/>
          <w:szCs w:val="30"/>
        </w:rPr>
        <w:t>62,231.99</w:t>
      </w:r>
      <w:r w:rsidR="00480F18" w:rsidRPr="00480F18">
        <w:rPr>
          <w:rFonts w:ascii="仿宋" w:eastAsia="仿宋" w:hAnsi="仿宋" w:cs="Arial" w:hint="eastAsia"/>
          <w:bCs/>
          <w:sz w:val="24"/>
          <w:szCs w:val="30"/>
        </w:rPr>
        <w:t>亿元，较年初增加</w:t>
      </w:r>
      <w:r w:rsidR="00480F18" w:rsidRPr="00480F18">
        <w:rPr>
          <w:rFonts w:ascii="仿宋" w:eastAsia="仿宋" w:hAnsi="仿宋" w:cs="Arial"/>
          <w:sz w:val="24"/>
          <w:szCs w:val="30"/>
        </w:rPr>
        <w:t>6,525.25</w:t>
      </w:r>
      <w:r w:rsidR="00480F18" w:rsidRPr="00480F18">
        <w:rPr>
          <w:rFonts w:ascii="仿宋" w:eastAsia="仿宋" w:hAnsi="仿宋" w:cs="Arial" w:hint="eastAsia"/>
          <w:bCs/>
          <w:sz w:val="24"/>
          <w:szCs w:val="30"/>
        </w:rPr>
        <w:t>亿元</w:t>
      </w:r>
      <w:r w:rsidR="00480F18">
        <w:rPr>
          <w:rFonts w:ascii="仿宋" w:eastAsia="仿宋" w:hAnsi="仿宋" w:cs="Arial" w:hint="eastAsia"/>
          <w:sz w:val="24"/>
          <w:szCs w:val="30"/>
        </w:rPr>
        <w:t>。</w:t>
      </w:r>
      <w:r w:rsidR="00392080" w:rsidRPr="00392080">
        <w:rPr>
          <w:rFonts w:ascii="仿宋" w:eastAsia="仿宋" w:hAnsi="仿宋" w:cs="Arial" w:hint="eastAsia"/>
          <w:sz w:val="24"/>
          <w:szCs w:val="30"/>
        </w:rPr>
        <w:t>科技企业贷款余额5,904.56亿元，较年初增长9.73%；绿色贷款余额4,882.00亿元，较上年末增长9.03%；普</w:t>
      </w:r>
      <w:proofErr w:type="gramStart"/>
      <w:r w:rsidR="00392080" w:rsidRPr="00392080">
        <w:rPr>
          <w:rFonts w:ascii="仿宋" w:eastAsia="仿宋" w:hAnsi="仿宋" w:cs="Arial" w:hint="eastAsia"/>
          <w:sz w:val="24"/>
          <w:szCs w:val="30"/>
        </w:rPr>
        <w:t>惠型小微企业</w:t>
      </w:r>
      <w:proofErr w:type="gramEnd"/>
      <w:r w:rsidR="00392080" w:rsidRPr="00392080">
        <w:rPr>
          <w:rFonts w:ascii="仿宋" w:eastAsia="仿宋" w:hAnsi="仿宋" w:cs="Arial" w:hint="eastAsia"/>
          <w:sz w:val="24"/>
          <w:szCs w:val="30"/>
        </w:rPr>
        <w:t>贷款余额8,876.79亿元，较上年末增长10.37%；制造业贷款余额6,414.76亿元，较上年末增长15.56%。</w:t>
      </w:r>
    </w:p>
    <w:p w14:paraId="2F54858F" w14:textId="77777777" w:rsidR="0005196F" w:rsidRPr="00DA3ED6" w:rsidRDefault="00392080" w:rsidP="008E485B">
      <w:pPr>
        <w:pStyle w:val="a3"/>
        <w:numPr>
          <w:ilvl w:val="0"/>
          <w:numId w:val="10"/>
        </w:numPr>
        <w:spacing w:afterLines="20" w:after="62"/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DA3ED6">
        <w:rPr>
          <w:rFonts w:ascii="仿宋" w:eastAsia="仿宋" w:hAnsi="仿宋" w:cs="Arial" w:hint="eastAsia"/>
          <w:sz w:val="24"/>
          <w:szCs w:val="30"/>
        </w:rPr>
        <w:t>投行与金融市场</w:t>
      </w:r>
      <w:r w:rsidR="006E53E4" w:rsidRPr="00DA3ED6">
        <w:rPr>
          <w:rFonts w:ascii="仿宋" w:eastAsia="仿宋" w:hAnsi="仿宋" w:cs="Arial" w:hint="eastAsia"/>
          <w:sz w:val="24"/>
          <w:szCs w:val="30"/>
        </w:rPr>
        <w:t>业务</w:t>
      </w:r>
      <w:r w:rsidR="006B7362" w:rsidRPr="00DA3ED6">
        <w:rPr>
          <w:rFonts w:ascii="仿宋" w:eastAsia="仿宋" w:hAnsi="仿宋" w:cs="Arial" w:hint="eastAsia"/>
          <w:sz w:val="24"/>
          <w:szCs w:val="30"/>
        </w:rPr>
        <w:t>方面</w:t>
      </w:r>
      <w:r w:rsidR="0005196F" w:rsidRPr="00DA3ED6">
        <w:rPr>
          <w:rFonts w:ascii="仿宋" w:eastAsia="仿宋" w:hAnsi="仿宋" w:cs="Arial" w:hint="eastAsia"/>
          <w:sz w:val="24"/>
          <w:szCs w:val="30"/>
        </w:rPr>
        <w:t>：</w:t>
      </w:r>
      <w:r w:rsidR="006A1EF6" w:rsidRPr="00DA3ED6">
        <w:rPr>
          <w:rFonts w:ascii="仿宋" w:eastAsia="仿宋" w:hAnsi="仿宋" w:cs="Arial" w:hint="eastAsia"/>
          <w:sz w:val="24"/>
          <w:szCs w:val="30"/>
        </w:rPr>
        <w:t>主承销债务融资工具6,461.29亿元</w:t>
      </w:r>
      <w:r w:rsidR="001B00DC" w:rsidRPr="00DA3ED6">
        <w:rPr>
          <w:rFonts w:ascii="仿宋" w:eastAsia="仿宋" w:hAnsi="仿宋" w:cs="Arial"/>
          <w:sz w:val="24"/>
          <w:szCs w:val="30"/>
        </w:rPr>
        <w:t>，同</w:t>
      </w:r>
      <w:r w:rsidR="001B00DC" w:rsidRPr="00DA3ED6">
        <w:rPr>
          <w:rFonts w:ascii="仿宋" w:eastAsia="仿宋" w:hAnsi="仿宋" w:cs="Arial" w:hint="eastAsia"/>
          <w:sz w:val="24"/>
          <w:szCs w:val="30"/>
        </w:rPr>
        <w:t>口径较上年</w:t>
      </w:r>
      <w:r w:rsidR="001B00DC" w:rsidRPr="00DA3ED6">
        <w:rPr>
          <w:rFonts w:ascii="仿宋" w:eastAsia="仿宋" w:hAnsi="仿宋" w:cs="Arial"/>
          <w:sz w:val="24"/>
          <w:szCs w:val="30"/>
        </w:rPr>
        <w:t>增长9.72%</w:t>
      </w:r>
      <w:r w:rsidR="006A1EF6" w:rsidRPr="00DA3ED6">
        <w:rPr>
          <w:rFonts w:ascii="仿宋" w:eastAsia="仿宋" w:hAnsi="仿宋" w:cs="Arial" w:hint="eastAsia"/>
          <w:sz w:val="24"/>
          <w:szCs w:val="30"/>
        </w:rPr>
        <w:t>；</w:t>
      </w:r>
      <w:r w:rsidR="001B00DC" w:rsidRPr="00DA3ED6">
        <w:rPr>
          <w:rFonts w:ascii="仿宋" w:eastAsia="仿宋" w:hAnsi="仿宋" w:cs="Arial"/>
          <w:sz w:val="24"/>
          <w:szCs w:val="30"/>
        </w:rPr>
        <w:t>并购金融业务发生额2,066.34亿元，同比增长6.87%</w:t>
      </w:r>
      <w:r w:rsidR="006A1EF6" w:rsidRPr="00DA3ED6">
        <w:rPr>
          <w:rFonts w:ascii="仿宋" w:eastAsia="仿宋" w:hAnsi="仿宋" w:cs="Arial" w:hint="eastAsia"/>
          <w:sz w:val="24"/>
          <w:szCs w:val="30"/>
        </w:rPr>
        <w:t>。</w:t>
      </w:r>
      <w:r w:rsidR="009F5FCC" w:rsidRPr="00DA3ED6">
        <w:rPr>
          <w:rFonts w:ascii="仿宋" w:eastAsia="仿宋" w:hAnsi="仿宋" w:cs="Arial" w:hint="eastAsia"/>
          <w:sz w:val="24"/>
          <w:szCs w:val="30"/>
        </w:rPr>
        <w:t>人民币债券投资交易量2.99</w:t>
      </w:r>
      <w:proofErr w:type="gramStart"/>
      <w:r w:rsidR="009F5FCC" w:rsidRPr="00DA3ED6">
        <w:rPr>
          <w:rFonts w:ascii="仿宋" w:eastAsia="仿宋" w:hAnsi="仿宋" w:cs="Arial" w:hint="eastAsia"/>
          <w:sz w:val="24"/>
          <w:szCs w:val="30"/>
        </w:rPr>
        <w:t>万亿</w:t>
      </w:r>
      <w:proofErr w:type="gramEnd"/>
      <w:r w:rsidR="009F5FCC" w:rsidRPr="00DA3ED6">
        <w:rPr>
          <w:rFonts w:ascii="仿宋" w:eastAsia="仿宋" w:hAnsi="仿宋" w:cs="Arial" w:hint="eastAsia"/>
          <w:sz w:val="24"/>
          <w:szCs w:val="30"/>
        </w:rPr>
        <w:t>元，</w:t>
      </w:r>
      <w:r w:rsidR="006A1EF6" w:rsidRPr="00DA3ED6">
        <w:rPr>
          <w:rFonts w:ascii="仿宋" w:eastAsia="仿宋" w:hAnsi="仿宋" w:cs="Arial" w:hint="eastAsia"/>
          <w:sz w:val="24"/>
          <w:szCs w:val="30"/>
        </w:rPr>
        <w:t>同比增长7.17%，批发对客业务交易量</w:t>
      </w:r>
      <w:r w:rsidR="009F5FCC" w:rsidRPr="00DA3ED6">
        <w:rPr>
          <w:rFonts w:ascii="仿宋" w:eastAsia="仿宋" w:hAnsi="仿宋" w:cs="Arial" w:hint="eastAsia"/>
          <w:sz w:val="24"/>
          <w:szCs w:val="30"/>
        </w:rPr>
        <w:t>2,828.72亿美元，同比</w:t>
      </w:r>
      <w:r w:rsidR="006A1EF6" w:rsidRPr="00DA3ED6">
        <w:rPr>
          <w:rFonts w:ascii="仿宋" w:eastAsia="仿宋" w:hAnsi="仿宋" w:cs="Arial" w:hint="eastAsia"/>
          <w:sz w:val="24"/>
          <w:szCs w:val="30"/>
        </w:rPr>
        <w:t>增长19.40%。票据直贴业务量</w:t>
      </w:r>
      <w:r w:rsidR="00D378C5" w:rsidRPr="00D378C5">
        <w:rPr>
          <w:rFonts w:ascii="仿宋" w:eastAsia="仿宋" w:hAnsi="仿宋" w:cs="Arial" w:hint="eastAsia"/>
          <w:sz w:val="24"/>
          <w:szCs w:val="30"/>
        </w:rPr>
        <w:t>25,737.54</w:t>
      </w:r>
      <w:r w:rsidR="00D378C5" w:rsidRPr="00D378C5">
        <w:rPr>
          <w:rFonts w:ascii="仿宋" w:eastAsia="仿宋" w:hAnsi="仿宋" w:cs="Arial"/>
          <w:sz w:val="24"/>
          <w:szCs w:val="30"/>
        </w:rPr>
        <w:t>亿元，同比</w:t>
      </w:r>
      <w:r w:rsidR="006A1EF6" w:rsidRPr="00DA3ED6">
        <w:rPr>
          <w:rFonts w:ascii="仿宋" w:eastAsia="仿宋" w:hAnsi="仿宋" w:cs="Arial" w:hint="eastAsia"/>
          <w:sz w:val="24"/>
          <w:szCs w:val="30"/>
        </w:rPr>
        <w:t>增长35.81%。</w:t>
      </w:r>
    </w:p>
    <w:p w14:paraId="58948CA6" w14:textId="0E71DE8B" w:rsidR="00392080" w:rsidRDefault="00392080" w:rsidP="008E485B">
      <w:pPr>
        <w:pStyle w:val="a3"/>
        <w:numPr>
          <w:ilvl w:val="0"/>
          <w:numId w:val="10"/>
        </w:numPr>
        <w:spacing w:afterLines="20" w:after="62"/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392080">
        <w:rPr>
          <w:rFonts w:ascii="仿宋" w:eastAsia="仿宋" w:hAnsi="仿宋" w:cs="Arial" w:hint="eastAsia"/>
          <w:sz w:val="24"/>
          <w:szCs w:val="30"/>
        </w:rPr>
        <w:t>财富管理与资产管理</w:t>
      </w:r>
      <w:r w:rsidR="0028597E">
        <w:rPr>
          <w:rFonts w:ascii="仿宋" w:eastAsia="仿宋" w:hAnsi="仿宋" w:cs="Arial" w:hint="eastAsia"/>
          <w:sz w:val="24"/>
          <w:szCs w:val="30"/>
        </w:rPr>
        <w:t>业务</w:t>
      </w:r>
      <w:r w:rsidR="009C03AA">
        <w:rPr>
          <w:rFonts w:ascii="仿宋" w:eastAsia="仿宋" w:hAnsi="仿宋" w:cs="Arial" w:hint="eastAsia"/>
          <w:sz w:val="24"/>
          <w:szCs w:val="30"/>
        </w:rPr>
        <w:t>方面</w:t>
      </w:r>
      <w:r w:rsidR="0028597E">
        <w:rPr>
          <w:rFonts w:ascii="仿宋" w:eastAsia="仿宋" w:hAnsi="仿宋" w:cs="Arial" w:hint="eastAsia"/>
          <w:sz w:val="24"/>
          <w:szCs w:val="30"/>
        </w:rPr>
        <w:t>：</w:t>
      </w:r>
      <w:r w:rsidRPr="00392080">
        <w:rPr>
          <w:rFonts w:ascii="仿宋" w:eastAsia="仿宋" w:hAnsi="仿宋" w:cs="Arial" w:hint="eastAsia"/>
          <w:sz w:val="24"/>
          <w:szCs w:val="30"/>
        </w:rPr>
        <w:t>零售财富产品持仓客户数达5,821.62万户，较上年末增长13.31%；“招商银行TREE资产配置服务体系”下进行资产配置的客户达1,037.56万户，较上年末增长13.84%；财富开放平台“招财号”引入159家具有行业代表性的机构。企业财富管理产品日均余额3,998.71亿元，同比增长30.35%。</w:t>
      </w:r>
      <w:r w:rsidR="00190012">
        <w:rPr>
          <w:rFonts w:ascii="仿宋" w:eastAsia="仿宋" w:hAnsi="仿宋" w:cs="Arial" w:hint="eastAsia"/>
          <w:sz w:val="24"/>
          <w:szCs w:val="30"/>
        </w:rPr>
        <w:t>本</w:t>
      </w:r>
      <w:proofErr w:type="gramStart"/>
      <w:r w:rsidR="00190012">
        <w:rPr>
          <w:rFonts w:ascii="仿宋" w:eastAsia="仿宋" w:hAnsi="仿宋" w:cs="Arial" w:hint="eastAsia"/>
          <w:sz w:val="24"/>
          <w:szCs w:val="30"/>
        </w:rPr>
        <w:t>集团</w:t>
      </w:r>
      <w:r w:rsidRPr="00392080">
        <w:rPr>
          <w:rFonts w:ascii="仿宋" w:eastAsia="仿宋" w:hAnsi="仿宋" w:cs="Arial" w:hint="eastAsia"/>
          <w:sz w:val="24"/>
          <w:szCs w:val="30"/>
        </w:rPr>
        <w:t>资管业务</w:t>
      </w:r>
      <w:proofErr w:type="gramEnd"/>
      <w:r w:rsidRPr="00392080">
        <w:rPr>
          <w:rFonts w:ascii="仿宋" w:eastAsia="仿宋" w:hAnsi="仿宋" w:cs="Arial" w:hint="eastAsia"/>
          <w:sz w:val="24"/>
          <w:szCs w:val="30"/>
        </w:rPr>
        <w:t>总规模达4.48</w:t>
      </w:r>
      <w:proofErr w:type="gramStart"/>
      <w:r w:rsidRPr="00392080">
        <w:rPr>
          <w:rFonts w:ascii="仿宋" w:eastAsia="仿宋" w:hAnsi="仿宋" w:cs="Arial" w:hint="eastAsia"/>
          <w:sz w:val="24"/>
          <w:szCs w:val="30"/>
        </w:rPr>
        <w:t>万亿</w:t>
      </w:r>
      <w:proofErr w:type="gramEnd"/>
      <w:r w:rsidRPr="00392080">
        <w:rPr>
          <w:rFonts w:ascii="仿宋" w:eastAsia="仿宋" w:hAnsi="仿宋" w:cs="Arial" w:hint="eastAsia"/>
          <w:sz w:val="24"/>
          <w:szCs w:val="30"/>
        </w:rPr>
        <w:t>元</w:t>
      </w:r>
      <w:r w:rsidR="00147C20">
        <w:rPr>
          <w:rFonts w:ascii="仿宋" w:eastAsia="仿宋" w:hAnsi="仿宋" w:cs="Arial" w:hint="eastAsia"/>
          <w:sz w:val="24"/>
          <w:szCs w:val="30"/>
        </w:rPr>
        <w:t>，</w:t>
      </w:r>
      <w:r w:rsidR="00147C20" w:rsidRPr="00147C20">
        <w:rPr>
          <w:rFonts w:ascii="仿宋" w:eastAsia="仿宋" w:hAnsi="仿宋" w:cs="Arial" w:hint="eastAsia"/>
          <w:sz w:val="24"/>
          <w:szCs w:val="30"/>
        </w:rPr>
        <w:t>较上年末下降0</w:t>
      </w:r>
      <w:r w:rsidR="00147C20" w:rsidRPr="00147C20">
        <w:rPr>
          <w:rFonts w:ascii="仿宋" w:eastAsia="仿宋" w:hAnsi="仿宋" w:cs="Arial"/>
          <w:sz w:val="24"/>
          <w:szCs w:val="30"/>
        </w:rPr>
        <w:t>.</w:t>
      </w:r>
      <w:r w:rsidR="00195630">
        <w:rPr>
          <w:rFonts w:ascii="仿宋" w:eastAsia="仿宋" w:hAnsi="仿宋" w:cs="Arial"/>
          <w:sz w:val="24"/>
          <w:szCs w:val="30"/>
        </w:rPr>
        <w:t>11</w:t>
      </w:r>
      <w:r w:rsidR="00147C20" w:rsidRPr="00147C20">
        <w:rPr>
          <w:rFonts w:ascii="仿宋" w:eastAsia="仿宋" w:hAnsi="仿宋" w:cs="Arial"/>
          <w:sz w:val="24"/>
          <w:szCs w:val="30"/>
        </w:rPr>
        <w:t>%</w:t>
      </w:r>
      <w:r w:rsidR="00190012">
        <w:rPr>
          <w:rFonts w:ascii="仿宋" w:eastAsia="仿宋" w:hAnsi="仿宋" w:cs="Arial" w:hint="eastAsia"/>
          <w:sz w:val="24"/>
          <w:szCs w:val="30"/>
        </w:rPr>
        <w:t>。</w:t>
      </w:r>
      <w:r w:rsidRPr="00392080">
        <w:rPr>
          <w:rFonts w:ascii="仿宋" w:eastAsia="仿宋" w:hAnsi="仿宋" w:cs="Arial" w:hint="eastAsia"/>
          <w:sz w:val="24"/>
          <w:szCs w:val="30"/>
        </w:rPr>
        <w:t>托管规模达22.86</w:t>
      </w:r>
      <w:proofErr w:type="gramStart"/>
      <w:r w:rsidRPr="00392080">
        <w:rPr>
          <w:rFonts w:ascii="仿宋" w:eastAsia="仿宋" w:hAnsi="仿宋" w:cs="Arial" w:hint="eastAsia"/>
          <w:sz w:val="24"/>
          <w:szCs w:val="30"/>
        </w:rPr>
        <w:t>万亿</w:t>
      </w:r>
      <w:proofErr w:type="gramEnd"/>
      <w:r w:rsidRPr="00392080">
        <w:rPr>
          <w:rFonts w:ascii="仿宋" w:eastAsia="仿宋" w:hAnsi="仿宋" w:cs="Arial" w:hint="eastAsia"/>
          <w:sz w:val="24"/>
          <w:szCs w:val="30"/>
        </w:rPr>
        <w:t>元</w:t>
      </w:r>
      <w:r w:rsidR="00DA3ED6" w:rsidRPr="00DA3ED6">
        <w:rPr>
          <w:rFonts w:ascii="仿宋" w:eastAsia="仿宋" w:hAnsi="仿宋" w:cs="Arial" w:hint="eastAsia"/>
          <w:sz w:val="24"/>
          <w:szCs w:val="30"/>
        </w:rPr>
        <w:t>，较上年末增长8.2</w:t>
      </w:r>
      <w:r w:rsidR="00DA3ED6" w:rsidRPr="00DA3ED6">
        <w:rPr>
          <w:rFonts w:ascii="仿宋" w:eastAsia="仿宋" w:hAnsi="仿宋" w:cs="Arial"/>
          <w:sz w:val="24"/>
          <w:szCs w:val="30"/>
        </w:rPr>
        <w:t>4</w:t>
      </w:r>
      <w:r w:rsidR="00DA3ED6" w:rsidRPr="00DA3ED6">
        <w:rPr>
          <w:rFonts w:ascii="仿宋" w:eastAsia="仿宋" w:hAnsi="仿宋" w:cs="Arial" w:hint="eastAsia"/>
          <w:sz w:val="24"/>
          <w:szCs w:val="30"/>
        </w:rPr>
        <w:t>%</w:t>
      </w:r>
      <w:r w:rsidRPr="00392080">
        <w:rPr>
          <w:rFonts w:ascii="仿宋" w:eastAsia="仿宋" w:hAnsi="仿宋" w:cs="Arial" w:hint="eastAsia"/>
          <w:sz w:val="24"/>
          <w:szCs w:val="30"/>
        </w:rPr>
        <w:t>。</w:t>
      </w:r>
    </w:p>
    <w:p w14:paraId="55E4A401" w14:textId="77777777" w:rsidR="001345FB" w:rsidRPr="00493C23" w:rsidRDefault="00493C23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</w:rPr>
      </w:pPr>
      <w:r w:rsidRPr="00493C23">
        <w:rPr>
          <w:rFonts w:ascii="仿宋" w:eastAsia="仿宋" w:hAnsi="仿宋" w:cs="Arial" w:hint="eastAsia"/>
          <w:b/>
          <w:sz w:val="24"/>
          <w:szCs w:val="30"/>
        </w:rPr>
        <w:t>持续加大科技投入，加快打造</w:t>
      </w:r>
      <w:proofErr w:type="gramStart"/>
      <w:r w:rsidRPr="00493C23">
        <w:rPr>
          <w:rFonts w:ascii="仿宋" w:eastAsia="仿宋" w:hAnsi="仿宋" w:cs="Arial" w:hint="eastAsia"/>
          <w:b/>
          <w:sz w:val="24"/>
          <w:szCs w:val="30"/>
        </w:rPr>
        <w:t>数智招</w:t>
      </w:r>
      <w:proofErr w:type="gramEnd"/>
      <w:r w:rsidRPr="00493C23">
        <w:rPr>
          <w:rFonts w:ascii="仿宋" w:eastAsia="仿宋" w:hAnsi="仿宋" w:cs="Arial" w:hint="eastAsia"/>
          <w:b/>
          <w:sz w:val="24"/>
          <w:szCs w:val="30"/>
        </w:rPr>
        <w:t>行</w:t>
      </w:r>
    </w:p>
    <w:p w14:paraId="3F74A330" w14:textId="41732368" w:rsidR="00070ED0" w:rsidRDefault="00493C23" w:rsidP="00493C23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493C23">
        <w:rPr>
          <w:rFonts w:ascii="仿宋" w:eastAsia="仿宋" w:hAnsi="仿宋" w:cs="Arial" w:hint="eastAsia"/>
          <w:sz w:val="24"/>
          <w:szCs w:val="30"/>
        </w:rPr>
        <w:t>信息科技投入133.50亿元，达到本公司营业净收入的4.</w:t>
      </w:r>
      <w:r w:rsidR="00195630" w:rsidRPr="00493C23">
        <w:rPr>
          <w:rFonts w:ascii="仿宋" w:eastAsia="仿宋" w:hAnsi="仿宋" w:cs="Arial" w:hint="eastAsia"/>
          <w:sz w:val="24"/>
          <w:szCs w:val="30"/>
        </w:rPr>
        <w:t>3</w:t>
      </w:r>
      <w:r w:rsidR="00195630">
        <w:rPr>
          <w:rFonts w:ascii="仿宋" w:eastAsia="仿宋" w:hAnsi="仿宋" w:cs="Arial"/>
          <w:sz w:val="24"/>
          <w:szCs w:val="30"/>
        </w:rPr>
        <w:t>7</w:t>
      </w:r>
      <w:r w:rsidRPr="00493C23">
        <w:rPr>
          <w:rFonts w:ascii="仿宋" w:eastAsia="仿宋" w:hAnsi="仿宋" w:cs="Arial" w:hint="eastAsia"/>
          <w:sz w:val="24"/>
          <w:szCs w:val="30"/>
        </w:rPr>
        <w:t>%</w:t>
      </w:r>
      <w:r w:rsidR="00195630">
        <w:rPr>
          <w:rFonts w:ascii="仿宋" w:eastAsia="仿宋" w:hAnsi="仿宋" w:cs="Arial" w:hint="eastAsia"/>
          <w:sz w:val="24"/>
          <w:szCs w:val="30"/>
        </w:rPr>
        <w:t>（H股：4</w:t>
      </w:r>
      <w:r w:rsidR="00195630">
        <w:rPr>
          <w:rFonts w:ascii="仿宋" w:eastAsia="仿宋" w:hAnsi="仿宋" w:cs="Arial"/>
          <w:sz w:val="24"/>
          <w:szCs w:val="30"/>
        </w:rPr>
        <w:t>.38%</w:t>
      </w:r>
      <w:r w:rsidR="00195630">
        <w:rPr>
          <w:rFonts w:ascii="仿宋" w:eastAsia="仿宋" w:hAnsi="仿宋" w:cs="Arial" w:hint="eastAsia"/>
          <w:sz w:val="24"/>
          <w:szCs w:val="30"/>
        </w:rPr>
        <w:t>）</w:t>
      </w:r>
      <w:r w:rsidRPr="00493C23">
        <w:rPr>
          <w:rFonts w:ascii="仿宋" w:eastAsia="仿宋" w:hAnsi="仿宋" w:cs="Arial" w:hint="eastAsia"/>
          <w:sz w:val="24"/>
          <w:szCs w:val="30"/>
        </w:rPr>
        <w:t>。</w:t>
      </w:r>
    </w:p>
    <w:p w14:paraId="78A546B2" w14:textId="77777777" w:rsidR="00070ED0" w:rsidRDefault="00493C23" w:rsidP="00493C23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493C23">
        <w:rPr>
          <w:rFonts w:ascii="仿宋" w:eastAsia="仿宋" w:hAnsi="仿宋" w:cs="Arial" w:hint="eastAsia"/>
          <w:sz w:val="24"/>
          <w:szCs w:val="30"/>
        </w:rPr>
        <w:t>研发人员达10,900人，占本集团员工总数的9.30%。</w:t>
      </w:r>
    </w:p>
    <w:p w14:paraId="779607D5" w14:textId="77777777" w:rsidR="00E00C46" w:rsidRDefault="00493C23" w:rsidP="00493C23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493C23">
        <w:rPr>
          <w:rFonts w:ascii="仿宋" w:eastAsia="仿宋" w:hAnsi="仿宋" w:cs="Arial" w:hint="eastAsia"/>
          <w:sz w:val="24"/>
          <w:szCs w:val="30"/>
        </w:rPr>
        <w:t>金融科技创新项目基金围绕数字化经营与管理、前沿科技能力、B端生态、C端生态、创新孵化五大方向，全面推进本公司数字化能力建设。全行累计</w:t>
      </w:r>
      <w:r w:rsidR="0028597E">
        <w:rPr>
          <w:rFonts w:ascii="仿宋" w:eastAsia="仿宋" w:hAnsi="仿宋" w:cs="Arial" w:hint="eastAsia"/>
          <w:sz w:val="24"/>
          <w:szCs w:val="30"/>
        </w:rPr>
        <w:t>立</w:t>
      </w:r>
      <w:r w:rsidRPr="00493C23">
        <w:rPr>
          <w:rFonts w:ascii="仿宋" w:eastAsia="仿宋" w:hAnsi="仿宋" w:cs="Arial" w:hint="eastAsia"/>
          <w:sz w:val="24"/>
          <w:szCs w:val="30"/>
        </w:rPr>
        <w:t>项金融科技创新项目4,410个，累计上线项目3,793个</w:t>
      </w:r>
    </w:p>
    <w:p w14:paraId="51B7693E" w14:textId="77777777" w:rsidR="00A51674" w:rsidRDefault="00A51674" w:rsidP="00493C23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A51674">
        <w:rPr>
          <w:rFonts w:ascii="仿宋" w:eastAsia="仿宋" w:hAnsi="仿宋" w:cs="Arial" w:hint="eastAsia"/>
          <w:sz w:val="24"/>
          <w:szCs w:val="30"/>
        </w:rPr>
        <w:t>招商银行App和掌上生活App的</w:t>
      </w:r>
      <w:proofErr w:type="gramStart"/>
      <w:r w:rsidRPr="00A51674">
        <w:rPr>
          <w:rFonts w:ascii="仿宋" w:eastAsia="仿宋" w:hAnsi="仿宋" w:cs="Arial" w:hint="eastAsia"/>
          <w:sz w:val="24"/>
          <w:szCs w:val="30"/>
        </w:rPr>
        <w:t>月活跃</w:t>
      </w:r>
      <w:proofErr w:type="gramEnd"/>
      <w:r w:rsidRPr="00A51674">
        <w:rPr>
          <w:rFonts w:ascii="仿宋" w:eastAsia="仿宋" w:hAnsi="仿宋" w:cs="Arial" w:hint="eastAsia"/>
          <w:sz w:val="24"/>
          <w:szCs w:val="30"/>
        </w:rPr>
        <w:t>用户（MAU）达1.23亿户，批发线</w:t>
      </w:r>
      <w:proofErr w:type="gramStart"/>
      <w:r w:rsidRPr="00A51674">
        <w:rPr>
          <w:rFonts w:ascii="仿宋" w:eastAsia="仿宋" w:hAnsi="仿宋" w:cs="Arial" w:hint="eastAsia"/>
          <w:sz w:val="24"/>
          <w:szCs w:val="30"/>
        </w:rPr>
        <w:t>上渠道</w:t>
      </w:r>
      <w:proofErr w:type="gramEnd"/>
      <w:r w:rsidRPr="00A51674">
        <w:rPr>
          <w:rFonts w:ascii="仿宋" w:eastAsia="仿宋" w:hAnsi="仿宋" w:cs="Arial" w:hint="eastAsia"/>
          <w:sz w:val="24"/>
          <w:szCs w:val="30"/>
        </w:rPr>
        <w:t>月均活跃客户数达194.94万户。</w:t>
      </w:r>
    </w:p>
    <w:p w14:paraId="044D5AE6" w14:textId="77777777" w:rsidR="00070ED0" w:rsidRPr="00DD3108" w:rsidRDefault="000D7F0D" w:rsidP="00CD77F7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CD77F7">
        <w:rPr>
          <w:rFonts w:ascii="仿宋" w:eastAsia="仿宋" w:hAnsi="仿宋" w:cs="Arial" w:hint="eastAsia"/>
          <w:bCs/>
          <w:sz w:val="24"/>
          <w:szCs w:val="30"/>
        </w:rPr>
        <w:t>“AI+金融”全面推进</w:t>
      </w:r>
      <w:r w:rsidRPr="000D7F0D">
        <w:rPr>
          <w:rFonts w:ascii="仿宋" w:eastAsia="仿宋" w:hAnsi="仿宋" w:cs="Arial" w:hint="eastAsia"/>
          <w:sz w:val="24"/>
          <w:szCs w:val="30"/>
        </w:rPr>
        <w:t>，搭建千卡</w:t>
      </w:r>
      <w:proofErr w:type="gramStart"/>
      <w:r w:rsidRPr="000D7F0D">
        <w:rPr>
          <w:rFonts w:ascii="仿宋" w:eastAsia="仿宋" w:hAnsi="仿宋" w:cs="Arial" w:hint="eastAsia"/>
          <w:sz w:val="24"/>
          <w:szCs w:val="30"/>
        </w:rPr>
        <w:t>算力集群</w:t>
      </w:r>
      <w:proofErr w:type="gramEnd"/>
      <w:r>
        <w:rPr>
          <w:rFonts w:ascii="仿宋" w:eastAsia="仿宋" w:hAnsi="仿宋" w:cs="Arial" w:hint="eastAsia"/>
          <w:sz w:val="24"/>
          <w:szCs w:val="30"/>
        </w:rPr>
        <w:t>，</w:t>
      </w:r>
      <w:r w:rsidR="00070ED0" w:rsidRPr="00DD3108">
        <w:rPr>
          <w:rFonts w:ascii="仿宋" w:eastAsia="仿宋" w:hAnsi="仿宋" w:cs="Arial" w:hint="eastAsia"/>
          <w:sz w:val="24"/>
          <w:szCs w:val="30"/>
        </w:rPr>
        <w:t>发布中国银行业首个开源百亿参数金融大模型“一招”</w:t>
      </w:r>
      <w:r w:rsidRPr="000D7F0D">
        <w:rPr>
          <w:rFonts w:ascii="仿宋" w:eastAsia="仿宋" w:hAnsi="仿宋" w:cs="Arial" w:hint="eastAsia"/>
          <w:sz w:val="24"/>
          <w:szCs w:val="30"/>
        </w:rPr>
        <w:t>，开源了2TB的金融行业高质量数据集</w:t>
      </w:r>
      <w:r w:rsidR="00DD3108" w:rsidRPr="00DD3108">
        <w:rPr>
          <w:rFonts w:ascii="仿宋" w:eastAsia="仿宋" w:hAnsi="仿宋" w:cs="Arial" w:hint="eastAsia"/>
          <w:sz w:val="24"/>
          <w:szCs w:val="30"/>
        </w:rPr>
        <w:t>；</w:t>
      </w:r>
      <w:r w:rsidR="00A51674" w:rsidRPr="00DD3108">
        <w:rPr>
          <w:rFonts w:ascii="仿宋" w:eastAsia="仿宋" w:hAnsi="仿宋" w:cs="Arial" w:hint="eastAsia"/>
          <w:sz w:val="24"/>
          <w:szCs w:val="30"/>
        </w:rPr>
        <w:t>全行大模型应用</w:t>
      </w:r>
      <w:proofErr w:type="gramStart"/>
      <w:r w:rsidR="00A51674" w:rsidRPr="00DD3108">
        <w:rPr>
          <w:rFonts w:ascii="仿宋" w:eastAsia="仿宋" w:hAnsi="仿宋" w:cs="Arial" w:hint="eastAsia"/>
          <w:sz w:val="24"/>
          <w:szCs w:val="30"/>
        </w:rPr>
        <w:t>场景超</w:t>
      </w:r>
      <w:proofErr w:type="gramEnd"/>
      <w:r w:rsidR="00A51674" w:rsidRPr="00DD3108">
        <w:rPr>
          <w:rFonts w:ascii="仿宋" w:eastAsia="仿宋" w:hAnsi="仿宋" w:cs="Arial" w:hint="eastAsia"/>
          <w:sz w:val="24"/>
          <w:szCs w:val="30"/>
        </w:rPr>
        <w:t>120个，</w:t>
      </w:r>
      <w:r w:rsidR="00DD3108" w:rsidRPr="00DD3108">
        <w:rPr>
          <w:rFonts w:ascii="仿宋" w:eastAsia="仿宋" w:hAnsi="仿宋" w:cs="Arial" w:hint="eastAsia"/>
          <w:sz w:val="24"/>
          <w:szCs w:val="30"/>
        </w:rPr>
        <w:t>覆盖零售及对公客户服务、风控、运营、办公等多个领域。</w:t>
      </w:r>
    </w:p>
    <w:p w14:paraId="26A4E832" w14:textId="77777777" w:rsidR="00A51674" w:rsidRDefault="00A51674" w:rsidP="00070ED0">
      <w:pPr>
        <w:pStyle w:val="a3"/>
        <w:ind w:left="426" w:rightChars="-162" w:right="-340" w:firstLineChars="0" w:firstLine="0"/>
        <w:rPr>
          <w:rFonts w:ascii="仿宋" w:eastAsia="仿宋" w:hAnsi="仿宋" w:cs="Arial" w:hint="eastAsia"/>
          <w:sz w:val="24"/>
          <w:szCs w:val="30"/>
        </w:rPr>
      </w:pPr>
    </w:p>
    <w:p w14:paraId="1F6C9A50" w14:textId="77777777" w:rsidR="00D25C2E" w:rsidRDefault="00D25C2E" w:rsidP="00070ED0">
      <w:pPr>
        <w:pStyle w:val="a3"/>
        <w:ind w:left="426" w:rightChars="-162" w:right="-340" w:firstLineChars="0" w:firstLine="0"/>
        <w:rPr>
          <w:rFonts w:ascii="仿宋" w:eastAsia="仿宋" w:hAnsi="仿宋" w:cs="Arial" w:hint="eastAsia"/>
          <w:sz w:val="24"/>
          <w:szCs w:val="30"/>
        </w:rPr>
      </w:pPr>
    </w:p>
    <w:p w14:paraId="2468A1DE" w14:textId="79222D5C" w:rsidR="00036BFF" w:rsidRPr="00036BFF" w:rsidRDefault="00036BFF" w:rsidP="00147C20">
      <w:pPr>
        <w:rPr>
          <w:rFonts w:ascii="Arial" w:eastAsia="宋体" w:hAnsi="Arial" w:cs="Arial"/>
          <w:sz w:val="18"/>
          <w:szCs w:val="18"/>
        </w:rPr>
      </w:pPr>
      <w:r w:rsidRPr="00036BFF">
        <w:rPr>
          <w:rFonts w:ascii="Arial" w:eastAsia="宋体" w:hAnsi="Arial" w:cs="Arial"/>
          <w:sz w:val="18"/>
          <w:szCs w:val="18"/>
        </w:rPr>
        <w:t>注</w:t>
      </w:r>
      <w:r w:rsidRPr="00036BFF">
        <w:rPr>
          <w:rFonts w:ascii="Arial" w:eastAsia="宋体" w:hAnsi="Arial" w:cs="Arial"/>
          <w:sz w:val="18"/>
          <w:szCs w:val="18"/>
        </w:rPr>
        <w:t>1</w:t>
      </w:r>
      <w:r w:rsidRPr="00036BFF">
        <w:rPr>
          <w:rFonts w:ascii="Arial" w:eastAsia="宋体" w:hAnsi="Arial" w:cs="Arial"/>
          <w:sz w:val="18"/>
          <w:szCs w:val="18"/>
        </w:rPr>
        <w:t>：除特别标示外，以上</w:t>
      </w:r>
      <w:r w:rsidR="00AE3DE4">
        <w:rPr>
          <w:rFonts w:ascii="Arial" w:eastAsia="宋体" w:hAnsi="Arial" w:cs="Arial"/>
          <w:sz w:val="18"/>
          <w:szCs w:val="18"/>
        </w:rPr>
        <w:t>财务数据均为本集团口径</w:t>
      </w:r>
      <w:r w:rsidR="00D02A55">
        <w:rPr>
          <w:rFonts w:ascii="Arial" w:eastAsia="宋体" w:hAnsi="Arial" w:cs="Arial" w:hint="eastAsia"/>
          <w:sz w:val="18"/>
          <w:szCs w:val="18"/>
        </w:rPr>
        <w:t>，</w:t>
      </w:r>
      <w:r w:rsidR="00AE3DE4">
        <w:rPr>
          <w:rFonts w:ascii="Arial" w:eastAsia="宋体" w:hAnsi="Arial" w:cs="Arial"/>
          <w:sz w:val="18"/>
          <w:szCs w:val="18"/>
        </w:rPr>
        <w:t>业务数据</w:t>
      </w:r>
      <w:r w:rsidR="009F629B">
        <w:rPr>
          <w:rFonts w:ascii="Arial" w:eastAsia="宋体" w:hAnsi="Arial" w:cs="Arial"/>
          <w:sz w:val="18"/>
          <w:szCs w:val="18"/>
        </w:rPr>
        <w:t>以及</w:t>
      </w:r>
      <w:r w:rsidR="00D02A55">
        <w:rPr>
          <w:rFonts w:ascii="Arial" w:eastAsia="宋体" w:hAnsi="Arial" w:cs="Arial"/>
          <w:sz w:val="18"/>
          <w:szCs w:val="18"/>
        </w:rPr>
        <w:t>零售和公司</w:t>
      </w:r>
      <w:r w:rsidR="009F629B">
        <w:rPr>
          <w:rFonts w:ascii="Arial" w:eastAsia="宋体" w:hAnsi="Arial" w:cs="Arial"/>
          <w:sz w:val="18"/>
          <w:szCs w:val="18"/>
        </w:rPr>
        <w:t>贷款</w:t>
      </w:r>
      <w:r w:rsidR="00AE3DE4">
        <w:rPr>
          <w:rFonts w:ascii="Arial" w:eastAsia="宋体" w:hAnsi="Arial" w:cs="Arial"/>
          <w:sz w:val="18"/>
          <w:szCs w:val="18"/>
        </w:rPr>
        <w:t>均为本公司口径，</w:t>
      </w:r>
      <w:r w:rsidRPr="00036BFF">
        <w:rPr>
          <w:rFonts w:ascii="Arial" w:eastAsia="宋体" w:hAnsi="Arial" w:cs="Arial"/>
          <w:sz w:val="18"/>
          <w:szCs w:val="18"/>
        </w:rPr>
        <w:t>及以人民币为单位。</w:t>
      </w:r>
    </w:p>
    <w:p w14:paraId="5D167AF8" w14:textId="77777777" w:rsidR="00CD77F7" w:rsidRPr="009D31E4" w:rsidRDefault="00036BFF" w:rsidP="00147C20">
      <w:pPr>
        <w:rPr>
          <w:rFonts w:ascii="Arial" w:eastAsia="宋体" w:hAnsi="Arial" w:cs="Arial"/>
          <w:sz w:val="18"/>
          <w:szCs w:val="18"/>
        </w:rPr>
      </w:pPr>
      <w:r w:rsidRPr="00036BFF">
        <w:rPr>
          <w:rFonts w:ascii="Arial" w:eastAsia="宋体" w:hAnsi="Arial" w:cs="Arial"/>
          <w:sz w:val="18"/>
          <w:szCs w:val="18"/>
        </w:rPr>
        <w:t>注</w:t>
      </w:r>
      <w:r w:rsidRPr="00036BFF">
        <w:rPr>
          <w:rFonts w:ascii="Arial" w:eastAsia="宋体" w:hAnsi="Arial" w:cs="Arial"/>
          <w:sz w:val="18"/>
          <w:szCs w:val="18"/>
        </w:rPr>
        <w:t>2</w:t>
      </w:r>
      <w:r w:rsidRPr="00036BFF">
        <w:rPr>
          <w:rFonts w:ascii="Arial" w:eastAsia="宋体" w:hAnsi="Arial" w:cs="Arial"/>
          <w:sz w:val="18"/>
          <w:szCs w:val="18"/>
        </w:rPr>
        <w:t>：招商银行</w:t>
      </w:r>
      <w:r w:rsidRPr="00036BFF">
        <w:rPr>
          <w:rFonts w:ascii="Arial" w:eastAsia="宋体" w:hAnsi="Arial" w:cs="Arial" w:hint="eastAsia"/>
          <w:sz w:val="18"/>
          <w:szCs w:val="18"/>
        </w:rPr>
        <w:t>A</w:t>
      </w:r>
      <w:r w:rsidRPr="00036BFF">
        <w:rPr>
          <w:rFonts w:ascii="Arial" w:eastAsia="宋体" w:hAnsi="Arial" w:cs="Arial"/>
          <w:sz w:val="18"/>
          <w:szCs w:val="18"/>
        </w:rPr>
        <w:t>股的</w:t>
      </w:r>
      <w:r w:rsidRPr="00036BFF">
        <w:rPr>
          <w:rFonts w:ascii="Arial" w:eastAsia="宋体" w:hAnsi="Arial" w:cs="Arial"/>
          <w:sz w:val="18"/>
          <w:szCs w:val="18"/>
        </w:rPr>
        <w:t>202</w:t>
      </w:r>
      <w:r w:rsidRPr="00036BFF">
        <w:rPr>
          <w:rFonts w:ascii="Arial" w:eastAsia="宋体" w:hAnsi="Arial" w:cs="Arial" w:hint="eastAsia"/>
          <w:sz w:val="18"/>
          <w:szCs w:val="18"/>
        </w:rPr>
        <w:t>4</w:t>
      </w:r>
      <w:r w:rsidRPr="00036BFF">
        <w:rPr>
          <w:rFonts w:ascii="Arial" w:eastAsia="宋体" w:hAnsi="Arial" w:cs="Arial"/>
          <w:sz w:val="18"/>
          <w:szCs w:val="18"/>
        </w:rPr>
        <w:t>年</w:t>
      </w:r>
      <w:r w:rsidRPr="00036BFF">
        <w:rPr>
          <w:rFonts w:ascii="Arial" w:eastAsia="宋体" w:hAnsi="Arial" w:cs="Arial" w:hint="eastAsia"/>
          <w:sz w:val="18"/>
          <w:szCs w:val="18"/>
        </w:rPr>
        <w:t>全年</w:t>
      </w:r>
      <w:r w:rsidRPr="00036BFF">
        <w:rPr>
          <w:rFonts w:ascii="Arial" w:eastAsia="宋体" w:hAnsi="Arial" w:cs="Arial"/>
          <w:sz w:val="18"/>
          <w:szCs w:val="18"/>
        </w:rPr>
        <w:t>财务报告按</w:t>
      </w:r>
      <w:r w:rsidRPr="00036BFF">
        <w:rPr>
          <w:rFonts w:ascii="Arial" w:eastAsia="宋体" w:hAnsi="Arial" w:cs="Arial" w:hint="eastAsia"/>
          <w:sz w:val="18"/>
          <w:szCs w:val="18"/>
        </w:rPr>
        <w:t>中国会计</w:t>
      </w:r>
      <w:r w:rsidRPr="00036BFF">
        <w:rPr>
          <w:rFonts w:ascii="Arial" w:eastAsia="宋体" w:hAnsi="Arial" w:cs="Arial"/>
          <w:sz w:val="18"/>
          <w:szCs w:val="18"/>
        </w:rPr>
        <w:t>准则编制，按</w:t>
      </w:r>
      <w:r w:rsidRPr="00036BFF">
        <w:rPr>
          <w:rFonts w:ascii="Arial" w:eastAsia="宋体" w:hAnsi="Arial" w:cs="Arial" w:hint="eastAsia"/>
          <w:sz w:val="18"/>
          <w:szCs w:val="18"/>
        </w:rPr>
        <w:t>国际财务报告</w:t>
      </w:r>
      <w:r w:rsidR="004921A8">
        <w:rPr>
          <w:rFonts w:ascii="Arial" w:eastAsia="宋体" w:hAnsi="Arial" w:cs="Arial" w:hint="eastAsia"/>
          <w:sz w:val="18"/>
          <w:szCs w:val="18"/>
        </w:rPr>
        <w:t>会计</w:t>
      </w:r>
      <w:r w:rsidRPr="00036BFF">
        <w:rPr>
          <w:rFonts w:ascii="Arial" w:eastAsia="宋体" w:hAnsi="Arial" w:cs="Arial"/>
          <w:sz w:val="18"/>
          <w:szCs w:val="18"/>
        </w:rPr>
        <w:t>准则编制的</w:t>
      </w:r>
      <w:r w:rsidRPr="00036BFF">
        <w:rPr>
          <w:rFonts w:ascii="Arial" w:eastAsia="宋体" w:hAnsi="Arial" w:cs="Arial" w:hint="eastAsia"/>
          <w:sz w:val="18"/>
          <w:szCs w:val="18"/>
        </w:rPr>
        <w:t>H</w:t>
      </w:r>
      <w:r w:rsidRPr="00036BFF">
        <w:rPr>
          <w:rFonts w:ascii="Arial" w:eastAsia="宋体" w:hAnsi="Arial" w:cs="Arial"/>
          <w:sz w:val="18"/>
          <w:szCs w:val="18"/>
        </w:rPr>
        <w:t>股财务资料如果与</w:t>
      </w:r>
      <w:r w:rsidRPr="00036BFF">
        <w:rPr>
          <w:rFonts w:ascii="Arial" w:eastAsia="宋体" w:hAnsi="Arial" w:cs="Arial" w:hint="eastAsia"/>
          <w:sz w:val="18"/>
          <w:szCs w:val="18"/>
        </w:rPr>
        <w:t>A</w:t>
      </w:r>
      <w:r w:rsidRPr="00036BFF">
        <w:rPr>
          <w:rFonts w:ascii="Arial" w:eastAsia="宋体" w:hAnsi="Arial" w:cs="Arial"/>
          <w:sz w:val="18"/>
          <w:szCs w:val="18"/>
        </w:rPr>
        <w:t>股财务数据不同，则另行标示。</w:t>
      </w:r>
    </w:p>
    <w:sectPr w:rsidR="00902DAA" w:rsidRPr="009D31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A35E" w14:textId="77777777" w:rsidR="00D74271" w:rsidRDefault="00D74271" w:rsidP="00190012">
      <w:r>
        <w:separator/>
      </w:r>
    </w:p>
  </w:endnote>
  <w:endnote w:type="continuationSeparator" w:id="0">
    <w:p w14:paraId="30D91261" w14:textId="77777777" w:rsidR="00D74271" w:rsidRDefault="00D74271" w:rsidP="0019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019404"/>
      <w:docPartObj>
        <w:docPartGallery w:val="Page Numbers (Bottom of Page)"/>
        <w:docPartUnique/>
      </w:docPartObj>
    </w:sdtPr>
    <w:sdtEndPr/>
    <w:sdtContent>
      <w:p w14:paraId="0B5D58C2" w14:textId="77777777" w:rsidR="00190012" w:rsidRDefault="00190012" w:rsidP="001900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3B" w:rsidRPr="00EF0B3B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291C8" w14:textId="77777777" w:rsidR="00D74271" w:rsidRDefault="00D74271" w:rsidP="00190012">
      <w:r>
        <w:separator/>
      </w:r>
    </w:p>
  </w:footnote>
  <w:footnote w:type="continuationSeparator" w:id="0">
    <w:p w14:paraId="1F83DCBD" w14:textId="77777777" w:rsidR="00D74271" w:rsidRDefault="00D74271" w:rsidP="0019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BBA"/>
    <w:multiLevelType w:val="hybridMultilevel"/>
    <w:tmpl w:val="508A303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F903F6"/>
    <w:multiLevelType w:val="hybridMultilevel"/>
    <w:tmpl w:val="41968A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D0D05D4"/>
    <w:multiLevelType w:val="hybridMultilevel"/>
    <w:tmpl w:val="A4141D1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81468A"/>
    <w:multiLevelType w:val="hybridMultilevel"/>
    <w:tmpl w:val="994A1C3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09E5572"/>
    <w:multiLevelType w:val="hybridMultilevel"/>
    <w:tmpl w:val="7E04CF2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2697D2A"/>
    <w:multiLevelType w:val="hybridMultilevel"/>
    <w:tmpl w:val="0E24BE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BAC4A34"/>
    <w:multiLevelType w:val="hybridMultilevel"/>
    <w:tmpl w:val="E4A41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34412E9"/>
    <w:multiLevelType w:val="multilevel"/>
    <w:tmpl w:val="534412E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540F5"/>
    <w:multiLevelType w:val="multilevel"/>
    <w:tmpl w:val="638540F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AA1BB6"/>
    <w:multiLevelType w:val="multilevel"/>
    <w:tmpl w:val="7EAA1BB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19302950">
    <w:abstractNumId w:val="9"/>
  </w:num>
  <w:num w:numId="2" w16cid:durableId="1255626886">
    <w:abstractNumId w:val="8"/>
  </w:num>
  <w:num w:numId="3" w16cid:durableId="770971843">
    <w:abstractNumId w:val="7"/>
  </w:num>
  <w:num w:numId="4" w16cid:durableId="881795542">
    <w:abstractNumId w:val="5"/>
  </w:num>
  <w:num w:numId="5" w16cid:durableId="49308317">
    <w:abstractNumId w:val="6"/>
  </w:num>
  <w:num w:numId="6" w16cid:durableId="1315111244">
    <w:abstractNumId w:val="3"/>
  </w:num>
  <w:num w:numId="7" w16cid:durableId="844709716">
    <w:abstractNumId w:val="4"/>
  </w:num>
  <w:num w:numId="8" w16cid:durableId="1625884462">
    <w:abstractNumId w:val="0"/>
  </w:num>
  <w:num w:numId="9" w16cid:durableId="920674186">
    <w:abstractNumId w:val="1"/>
  </w:num>
  <w:num w:numId="10" w16cid:durableId="164161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FF"/>
    <w:rsid w:val="00036BFF"/>
    <w:rsid w:val="0005196F"/>
    <w:rsid w:val="00070ED0"/>
    <w:rsid w:val="000D7F0D"/>
    <w:rsid w:val="001248D0"/>
    <w:rsid w:val="001303BD"/>
    <w:rsid w:val="001345FB"/>
    <w:rsid w:val="00147C20"/>
    <w:rsid w:val="00190012"/>
    <w:rsid w:val="00195630"/>
    <w:rsid w:val="001B00DC"/>
    <w:rsid w:val="00257C54"/>
    <w:rsid w:val="00280661"/>
    <w:rsid w:val="0028597E"/>
    <w:rsid w:val="0029335E"/>
    <w:rsid w:val="003164A9"/>
    <w:rsid w:val="00392080"/>
    <w:rsid w:val="00395E94"/>
    <w:rsid w:val="00424DCB"/>
    <w:rsid w:val="00480F18"/>
    <w:rsid w:val="004921A8"/>
    <w:rsid w:val="00493C23"/>
    <w:rsid w:val="0054087B"/>
    <w:rsid w:val="00584EBE"/>
    <w:rsid w:val="006A1EF6"/>
    <w:rsid w:val="006B7362"/>
    <w:rsid w:val="006C65F8"/>
    <w:rsid w:val="006E53E4"/>
    <w:rsid w:val="007F72C8"/>
    <w:rsid w:val="008728F1"/>
    <w:rsid w:val="008A68E6"/>
    <w:rsid w:val="008E05FB"/>
    <w:rsid w:val="008E2F67"/>
    <w:rsid w:val="008E485B"/>
    <w:rsid w:val="00924525"/>
    <w:rsid w:val="009B18BB"/>
    <w:rsid w:val="009C03AA"/>
    <w:rsid w:val="009D31E4"/>
    <w:rsid w:val="009D59D9"/>
    <w:rsid w:val="009F5FCC"/>
    <w:rsid w:val="009F629B"/>
    <w:rsid w:val="00A51674"/>
    <w:rsid w:val="00A82A79"/>
    <w:rsid w:val="00A947F6"/>
    <w:rsid w:val="00A96740"/>
    <w:rsid w:val="00AA5A17"/>
    <w:rsid w:val="00AE3DE4"/>
    <w:rsid w:val="00B4081B"/>
    <w:rsid w:val="00BC20AC"/>
    <w:rsid w:val="00C048F6"/>
    <w:rsid w:val="00C21CAA"/>
    <w:rsid w:val="00CC5B7F"/>
    <w:rsid w:val="00CD77F7"/>
    <w:rsid w:val="00D02A55"/>
    <w:rsid w:val="00D24094"/>
    <w:rsid w:val="00D25C2E"/>
    <w:rsid w:val="00D378C5"/>
    <w:rsid w:val="00D74271"/>
    <w:rsid w:val="00DA2424"/>
    <w:rsid w:val="00DA3ED6"/>
    <w:rsid w:val="00DB4696"/>
    <w:rsid w:val="00DD3108"/>
    <w:rsid w:val="00DF46E7"/>
    <w:rsid w:val="00E00C46"/>
    <w:rsid w:val="00E16476"/>
    <w:rsid w:val="00E33D57"/>
    <w:rsid w:val="00E72FCD"/>
    <w:rsid w:val="00EE4F81"/>
    <w:rsid w:val="00E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68B748"/>
  <w15:chartTrackingRefBased/>
  <w15:docId w15:val="{B1F2261E-49AA-4015-83A6-0714709E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9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00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0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001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80F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0F18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80F18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480F18"/>
    <w:rPr>
      <w:sz w:val="18"/>
      <w:szCs w:val="18"/>
    </w:rPr>
  </w:style>
  <w:style w:type="character" w:styleId="ac">
    <w:name w:val="footnote reference"/>
    <w:qFormat/>
    <w:rsid w:val="00480F18"/>
    <w:rPr>
      <w:vertAlign w:val="superscript"/>
    </w:rPr>
  </w:style>
  <w:style w:type="paragraph" w:styleId="ad">
    <w:name w:val="Revision"/>
    <w:hidden/>
    <w:uiPriority w:val="99"/>
    <w:semiHidden/>
    <w:rsid w:val="00CD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360</Words>
  <Characters>2053</Characters>
  <Application>Microsoft Office Word</Application>
  <DocSecurity>0</DocSecurity>
  <Lines>17</Lines>
  <Paragraphs>4</Paragraphs>
  <ScaleCrop>false</ScaleCrop>
  <Company>CMB China HeadOffice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雷雨/01135919</dc:creator>
  <cp:keywords/>
  <dc:description/>
  <cp:lastModifiedBy>Vivian Wang</cp:lastModifiedBy>
  <cp:revision>6</cp:revision>
  <cp:lastPrinted>2025-03-18T06:29:00Z</cp:lastPrinted>
  <dcterms:created xsi:type="dcterms:W3CDTF">2025-03-24T00:55:00Z</dcterms:created>
  <dcterms:modified xsi:type="dcterms:W3CDTF">2025-03-25T08:18:00Z</dcterms:modified>
</cp:coreProperties>
</file>