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0E68" w14:textId="67CF4355" w:rsidR="00036BFF" w:rsidRPr="00AE15A8" w:rsidRDefault="00AE15A8" w:rsidP="00A96740">
      <w:pPr>
        <w:spacing w:line="360" w:lineRule="auto"/>
        <w:jc w:val="center"/>
        <w:rPr>
          <w:rFonts w:ascii="方正黑体" w:eastAsia="方正黑体" w:hAnsi="仿宋" w:cs="Arial" w:hint="eastAsia"/>
          <w:b/>
          <w:sz w:val="40"/>
          <w:szCs w:val="32"/>
          <w:lang w:eastAsia="zh-TW"/>
        </w:rPr>
      </w:pPr>
      <w:r w:rsidRPr="00AE15A8">
        <w:rPr>
          <w:rFonts w:ascii="方正黑体" w:eastAsia="方正黑体" w:hAnsi="仿宋" w:cs="Arial" w:hint="eastAsia"/>
          <w:b/>
          <w:sz w:val="40"/>
          <w:szCs w:val="32"/>
          <w:lang w:eastAsia="zh-TW"/>
        </w:rPr>
        <w:t>招商銀行2024年度業績數據摘要</w:t>
      </w:r>
    </w:p>
    <w:p w14:paraId="2F7D8519" w14:textId="77777777" w:rsidR="00147C20" w:rsidRPr="00AE15A8" w:rsidRDefault="00147C20" w:rsidP="008E485B">
      <w:pPr>
        <w:ind w:rightChars="-162" w:right="-340" w:firstLineChars="200" w:firstLine="480"/>
        <w:rPr>
          <w:rFonts w:ascii="仿宋" w:eastAsia="仿宋" w:hAnsi="仿宋" w:cs="Arial" w:hint="eastAsia"/>
          <w:sz w:val="24"/>
          <w:szCs w:val="30"/>
          <w:lang w:eastAsia="zh-TW"/>
        </w:rPr>
      </w:pPr>
    </w:p>
    <w:p w14:paraId="7D67D756" w14:textId="69DFFA2F" w:rsidR="00DB4696" w:rsidRPr="00AE15A8" w:rsidRDefault="00AE15A8" w:rsidP="00147C20">
      <w:pPr>
        <w:ind w:rightChars="-162" w:right="-340" w:firstLineChars="200" w:firstLine="482"/>
        <w:rPr>
          <w:rFonts w:ascii="仿宋" w:eastAsia="仿宋" w:hAnsi="仿宋" w:cs="Arial" w:hint="eastAsia"/>
          <w:bCs/>
          <w:sz w:val="24"/>
          <w:szCs w:val="30"/>
        </w:rPr>
      </w:pPr>
      <w:r w:rsidRPr="00AE15A8">
        <w:rPr>
          <w:rFonts w:ascii="仿宋" w:eastAsia="仿宋" w:hAnsi="仿宋" w:cs="Arial"/>
          <w:b/>
          <w:sz w:val="24"/>
          <w:szCs w:val="30"/>
          <w:lang w:eastAsia="zh-TW"/>
        </w:rPr>
        <w:t>2025</w:t>
      </w: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年</w:t>
      </w:r>
      <w:r w:rsidRPr="00AE15A8">
        <w:rPr>
          <w:rFonts w:ascii="仿宋" w:eastAsia="仿宋" w:hAnsi="仿宋" w:cs="Arial"/>
          <w:b/>
          <w:sz w:val="24"/>
          <w:szCs w:val="30"/>
          <w:lang w:eastAsia="zh-TW"/>
        </w:rPr>
        <w:t>3</w:t>
      </w: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月</w:t>
      </w:r>
      <w:r w:rsidRPr="00AE15A8">
        <w:rPr>
          <w:rFonts w:ascii="仿宋" w:eastAsia="仿宋" w:hAnsi="仿宋" w:cs="Arial"/>
          <w:b/>
          <w:sz w:val="24"/>
          <w:szCs w:val="30"/>
          <w:lang w:eastAsia="zh-TW"/>
        </w:rPr>
        <w:t>25</w:t>
      </w: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日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 xml:space="preserve"> 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─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 xml:space="preserve"> 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招商銀行（「招行」或「本公司」；上海：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>600036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；香港：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>3968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；連同其附屬公司合稱「本集團」），今天公佈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>2024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年度業績。</w:t>
      </w:r>
      <w:r w:rsidRPr="00AE15A8">
        <w:rPr>
          <w:rFonts w:ascii="仿宋" w:eastAsia="仿宋" w:hAnsi="仿宋" w:cs="Arial" w:hint="eastAsia"/>
          <w:bCs/>
          <w:sz w:val="24"/>
          <w:szCs w:val="30"/>
        </w:rPr>
        <w:t>主要業績數據摘要如下：</w:t>
      </w:r>
    </w:p>
    <w:p w14:paraId="13BCF47B" w14:textId="6CD94530" w:rsidR="00E00C46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有效應對多重挑戰，經營業績穩中向好</w:t>
      </w:r>
    </w:p>
    <w:p w14:paraId="52FBDE6F" w14:textId="7C5CCB01" w:rsidR="00E00C46" w:rsidRPr="00AE15A8" w:rsidRDefault="00AE15A8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營業淨收入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3,371.21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0.58%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（</w:t>
      </w:r>
      <w:proofErr w:type="gramEnd"/>
      <w:r w:rsidRPr="00AE15A8">
        <w:rPr>
          <w:rFonts w:ascii="仿宋" w:eastAsia="仿宋" w:hAnsi="仿宋" w:cs="Arial"/>
          <w:sz w:val="24"/>
          <w:szCs w:val="30"/>
          <w:lang w:eastAsia="zh-TW"/>
        </w:rPr>
        <w:t>A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股：營業收入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3,374.88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0.48%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；歸屬</w:t>
      </w:r>
      <w:r>
        <w:rPr>
          <w:rFonts w:ascii="仿宋" w:eastAsia="仿宋" w:hAnsi="仿宋" w:cs="Arial" w:hint="eastAsia"/>
          <w:sz w:val="24"/>
          <w:szCs w:val="30"/>
          <w:lang w:eastAsia="zh-TW"/>
        </w:rPr>
        <w:t>於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本行股東的淨利潤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1,483.91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1.22%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23913AAB" w14:textId="60713493" w:rsidR="00E00C46" w:rsidRPr="00AE15A8" w:rsidRDefault="00AE15A8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/>
          <w:sz w:val="24"/>
          <w:szCs w:val="30"/>
          <w:lang w:eastAsia="zh-TW"/>
        </w:rPr>
        <w:t>ROAA 1.28%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ROAE 14.49%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，同比分別下降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0.11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1.73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個百分點。</w:t>
      </w:r>
    </w:p>
    <w:p w14:paraId="15846CA5" w14:textId="018B0552" w:rsidR="00E00C46" w:rsidRPr="00AE15A8" w:rsidRDefault="00AE15A8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淨利息收入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2,112.77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1.58%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；淨利息收益率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1.98%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0.17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個百分點，保持較優水平。</w:t>
      </w:r>
    </w:p>
    <w:p w14:paraId="1448A41A" w14:textId="6F1E2F2C" w:rsidR="00E00C46" w:rsidRPr="00AE15A8" w:rsidRDefault="00AE15A8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非利息淨收入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1,258.44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1.15%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（</w:t>
      </w:r>
      <w:proofErr w:type="gramEnd"/>
      <w:r w:rsidRPr="00AE15A8">
        <w:rPr>
          <w:rFonts w:ascii="仿宋" w:eastAsia="仿宋" w:hAnsi="仿宋" w:cs="Arial"/>
          <w:sz w:val="24"/>
          <w:szCs w:val="30"/>
          <w:lang w:eastAsia="zh-TW"/>
        </w:rPr>
        <w:t>A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股：非利息淨收入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1,262.11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1.41%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41CC28BA" w14:textId="54F59F63" w:rsidR="00E00C46" w:rsidRPr="00AE15A8" w:rsidRDefault="00AE15A8" w:rsidP="00147C20">
      <w:pPr>
        <w:pStyle w:val="a3"/>
        <w:numPr>
          <w:ilvl w:val="0"/>
          <w:numId w:val="6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成本收入比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31.92%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1.05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（</w:t>
      </w:r>
      <w:proofErr w:type="gramEnd"/>
      <w:r w:rsidRPr="00AE15A8">
        <w:rPr>
          <w:rFonts w:ascii="仿宋" w:eastAsia="仿宋" w:hAnsi="仿宋" w:cs="Arial"/>
          <w:sz w:val="24"/>
          <w:szCs w:val="30"/>
          <w:lang w:eastAsia="zh-TW"/>
        </w:rPr>
        <w:t>A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股：成本收入比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31.89%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1.07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504332A6" w14:textId="3FA4611D" w:rsidR="00E00C46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資產規模穩健增長，負債優勢穩步提升</w:t>
      </w:r>
    </w:p>
    <w:p w14:paraId="3CFAE44B" w14:textId="2EB4788C" w:rsidR="00E00C46" w:rsidRPr="00AE15A8" w:rsidRDefault="00AE15A8" w:rsidP="00147C20">
      <w:pPr>
        <w:pStyle w:val="a3"/>
        <w:numPr>
          <w:ilvl w:val="0"/>
          <w:numId w:val="7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資產總額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121,520.36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10.19%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；貸款和墊款總額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68,883.15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5.83%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0014F0DC" w14:textId="2FA078EC" w:rsidR="00E00C46" w:rsidRPr="00AE15A8" w:rsidRDefault="00AE15A8" w:rsidP="00147C20">
      <w:pPr>
        <w:pStyle w:val="a3"/>
        <w:numPr>
          <w:ilvl w:val="0"/>
          <w:numId w:val="7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負債總額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109,185.61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9.81%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；客戶存款總額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90,965.87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11.54%</w:t>
      </w:r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；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活期存款日均餘額</w:t>
      </w:r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50.34%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，保持行業較高水平；計息負債平均成本率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1.64%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9BPs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，處於行業較優水平。</w:t>
      </w:r>
    </w:p>
    <w:p w14:paraId="3E68D2B5" w14:textId="3B2FD9E8" w:rsidR="00E00C46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資產質量保持良好，風險抵補能力強健</w:t>
      </w:r>
    </w:p>
    <w:p w14:paraId="566838BB" w14:textId="57C9AFDA" w:rsidR="00E00C46" w:rsidRPr="00AE15A8" w:rsidRDefault="00AE15A8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不良貸款餘額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656.10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億元，較上年末增加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40.31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億元；不良貸款率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0.95%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，與上年末持平。</w:t>
      </w:r>
    </w:p>
    <w:p w14:paraId="77553047" w14:textId="66A789F0" w:rsidR="00E00C46" w:rsidRPr="00AE15A8" w:rsidRDefault="00AE15A8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撥備覆蓋率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411.98%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，較上年末下降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25.72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個百分點；貸款撥備率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3.92%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，較上年末下降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0.22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個百分點。</w:t>
      </w:r>
    </w:p>
    <w:p w14:paraId="1A2A0589" w14:textId="694389BF" w:rsidR="00E00C46" w:rsidRPr="00AE15A8" w:rsidRDefault="00AE15A8" w:rsidP="00147C20">
      <w:pPr>
        <w:pStyle w:val="a3"/>
        <w:numPr>
          <w:ilvl w:val="0"/>
          <w:numId w:val="8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信用成本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0.65%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0.09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個百分點。</w:t>
      </w:r>
    </w:p>
    <w:p w14:paraId="5923286B" w14:textId="47C7AECB" w:rsidR="00E00C46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收入結構持續優化，資本保持內生能力</w:t>
      </w:r>
    </w:p>
    <w:p w14:paraId="34D26DEF" w14:textId="0F0CDFD5" w:rsidR="00E00C46" w:rsidRPr="00AE15A8" w:rsidRDefault="00AE15A8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零售金融營業淨收入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1,967.84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1.27%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</w:t>
      </w:r>
      <w:proofErr w:type="gramStart"/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本集團營業淨收入的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58.37%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（</w:t>
      </w:r>
      <w:proofErr w:type="gramEnd"/>
      <w:r w:rsidRPr="00AE15A8">
        <w:rPr>
          <w:rFonts w:ascii="仿宋" w:eastAsia="仿宋" w:hAnsi="仿宋" w:cs="Arial"/>
          <w:sz w:val="24"/>
          <w:szCs w:val="30"/>
          <w:lang w:eastAsia="zh-TW"/>
        </w:rPr>
        <w:t>A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股：零售金融營業收入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1,968.35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1.29%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</w:t>
      </w:r>
      <w:proofErr w:type="gramStart"/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本集團營業收入的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58.32%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07D0343B" w14:textId="5965AD06" w:rsidR="00E00C46" w:rsidRPr="00AE15A8" w:rsidRDefault="00AE15A8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非利息淨收入在營業淨收入中的</w:t>
      </w:r>
      <w:proofErr w:type="gramStart"/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比為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37.33%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，同比上升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0.64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（</w:t>
      </w:r>
      <w:proofErr w:type="gramEnd"/>
      <w:r w:rsidRPr="00AE15A8">
        <w:rPr>
          <w:rFonts w:ascii="仿宋" w:eastAsia="仿宋" w:hAnsi="仿宋" w:cs="Arial"/>
          <w:sz w:val="24"/>
          <w:szCs w:val="30"/>
          <w:lang w:eastAsia="zh-TW"/>
        </w:rPr>
        <w:t>A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股：非利息淨收入在營業收入中的</w:t>
      </w:r>
      <w:proofErr w:type="gramStart"/>
      <w:r w:rsidR="007D0D1E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比為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37.40%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，同比上升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0.70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，保持較好水平。</w:t>
      </w:r>
    </w:p>
    <w:p w14:paraId="59707D12" w14:textId="7404A783" w:rsidR="00E00C46" w:rsidRPr="00AE15A8" w:rsidRDefault="00AE15A8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/>
          <w:sz w:val="24"/>
          <w:szCs w:val="30"/>
          <w:lang w:eastAsia="zh-TW"/>
        </w:rPr>
        <w:t>2024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年度現金分紅預案為：現金分紅率</w:t>
      </w:r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保持在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35%</w:t>
      </w:r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以上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，每股現金分紅人民幣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</w:t>
      </w:r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.000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元（含稅）。</w:t>
      </w:r>
    </w:p>
    <w:p w14:paraId="4B7AF9E0" w14:textId="5088FD32" w:rsidR="008E05FB" w:rsidRPr="00AE15A8" w:rsidRDefault="00AE15A8" w:rsidP="00147C20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18"/>
          <w:szCs w:val="24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高級法下核心一級資本充足率、一級資本充足率和資本充足率分別為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14.86%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17.48%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19.05%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，較上年末分別上升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1.13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1.47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1.17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個百分點；權重法下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lastRenderedPageBreak/>
        <w:t>核心一級資本充足率、一級資本充足率和資本充足率分別為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12.43%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14.63%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15.73%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，較上年末分別上升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0.57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0.81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0.77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個百分點。</w:t>
      </w:r>
    </w:p>
    <w:p w14:paraId="47D0D427" w14:textId="314F01B7" w:rsidR="00392080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不斷鞏固零售優勢，四大板塊協調發展</w:t>
      </w:r>
    </w:p>
    <w:p w14:paraId="3167A47A" w14:textId="2DD7A4FA" w:rsidR="00392080" w:rsidRPr="00AE15A8" w:rsidRDefault="00AE15A8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零售業務方面：零售客戶總數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2.10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億戶，較上年末增長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6.60%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；管理零售客戶總資產（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AUM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14.93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12.05%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；零售貸款餘額達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35,779.19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6.06%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；信用卡流通戶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6,944.09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萬戶，信用卡交易額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44,185.59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億元。</w:t>
      </w:r>
    </w:p>
    <w:p w14:paraId="701D9AA8" w14:textId="5D5EE3C6" w:rsidR="00392080" w:rsidRPr="00AE15A8" w:rsidRDefault="00AE15A8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公司業務方面：公司客戶總數達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316.64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萬戶，較上年末增長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12.26%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公司客戶融資總量（</w:t>
      </w:r>
      <w:r w:rsidRPr="00AE15A8">
        <w:rPr>
          <w:rFonts w:ascii="仿宋" w:eastAsia="仿宋" w:hAnsi="仿宋" w:cs="Arial"/>
          <w:bCs/>
          <w:sz w:val="24"/>
          <w:szCs w:val="30"/>
          <w:lang w:eastAsia="zh-TW"/>
        </w:rPr>
        <w:t>FPA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）餘額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62,231.99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億元，較年初增加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6,525.25</w:t>
      </w:r>
      <w:r w:rsidRPr="00AE15A8">
        <w:rPr>
          <w:rFonts w:ascii="仿宋" w:eastAsia="仿宋" w:hAnsi="仿宋" w:cs="Arial" w:hint="eastAsia"/>
          <w:bCs/>
          <w:sz w:val="24"/>
          <w:szCs w:val="30"/>
          <w:lang w:eastAsia="zh-TW"/>
        </w:rPr>
        <w:t>億元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。科技企業貸款餘額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5,904.56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億元，較年初增長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9.73%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；綠色貸款餘額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4,882.00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9.03%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；普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惠型小微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企業貸款餘額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8,876.79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10.37%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；製造業貸款餘額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6,414.76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15.56%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3AC32408" w14:textId="0FE4FB2C" w:rsidR="0005196F" w:rsidRPr="00AE15A8" w:rsidRDefault="00AE15A8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投行與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金融市場業務方面：主承銷債務融資工具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6,461.29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億元，同口徑較上年增長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9.72%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</w:t>
      </w:r>
      <w:proofErr w:type="gramStart"/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併</w:t>
      </w:r>
      <w:proofErr w:type="gramEnd"/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購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金融業務發生額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2,066.34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6.87%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。人民幣債券投資交易量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2.99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7.17%</w:t>
      </w:r>
      <w:r w:rsidR="00696DED">
        <w:rPr>
          <w:rFonts w:ascii="仿宋" w:eastAsia="仿宋" w:hAnsi="仿宋" w:cs="Arial" w:hint="eastAsia"/>
          <w:sz w:val="24"/>
          <w:szCs w:val="30"/>
          <w:lang w:eastAsia="zh-TW"/>
        </w:rPr>
        <w:t xml:space="preserve">; 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批發對客業務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交易量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2,828.72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億美元，同比增長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19.40%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票據直貼業務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量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25,737.54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35.81%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6B4A0A44" w14:textId="719B4898" w:rsidR="00392080" w:rsidRPr="00AE15A8" w:rsidRDefault="00AE15A8" w:rsidP="008E485B">
      <w:pPr>
        <w:pStyle w:val="a3"/>
        <w:numPr>
          <w:ilvl w:val="0"/>
          <w:numId w:val="10"/>
        </w:numPr>
        <w:spacing w:afterLines="20" w:after="62"/>
        <w:ind w:left="426" w:rightChars="-162" w:right="-340" w:firstLineChars="0"/>
        <w:rPr>
          <w:rFonts w:ascii="仿宋" w:eastAsia="仿宋" w:hAnsi="仿宋" w:cs="Arial" w:hint="eastAsia"/>
          <w:sz w:val="24"/>
          <w:szCs w:val="30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財富管理與資產管理業務方面：零售財富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產品持倉客戶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數達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5,821.62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萬戶，較上年末增長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13.31%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「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招商銀行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TREE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資產配置服務體系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」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下進行資產配置的客戶達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1,037.56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萬戶，較上年末增長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13.84%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；財富開放平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台「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招財號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」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引入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159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家具有行業代表性的機構。企業財富管理產品日均餘額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3,998.71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億元，同比增長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30.35%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。本集團資管業務總規模達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4.48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萬億元，較上年末下降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0.</w:t>
      </w:r>
      <w:r w:rsidR="00154481" w:rsidRPr="00AE15A8">
        <w:rPr>
          <w:rFonts w:ascii="仿宋" w:eastAsia="仿宋" w:hAnsi="仿宋" w:cs="Arial"/>
          <w:sz w:val="24"/>
          <w:szCs w:val="30"/>
          <w:lang w:eastAsia="zh-TW"/>
        </w:rPr>
        <w:t>1</w:t>
      </w:r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1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。託管規模達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22.86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萬億元，較上年末增長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8.24%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1278B7DC" w14:textId="14C0B18C" w:rsidR="001345FB" w:rsidRPr="00AE15A8" w:rsidRDefault="00AE15A8" w:rsidP="00DD3108">
      <w:pPr>
        <w:pStyle w:val="a3"/>
        <w:numPr>
          <w:ilvl w:val="0"/>
          <w:numId w:val="4"/>
        </w:numPr>
        <w:spacing w:beforeLines="50" w:before="156" w:afterLines="50" w:after="156"/>
        <w:ind w:left="426" w:rightChars="-162" w:right="-340" w:firstLineChars="0"/>
        <w:rPr>
          <w:rFonts w:ascii="仿宋" w:eastAsia="仿宋" w:hAnsi="仿宋" w:cs="Arial" w:hint="eastAsia"/>
          <w:b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持續加大科技投入，加快打造</w:t>
      </w:r>
      <w:proofErr w:type="gramStart"/>
      <w:r w:rsidRPr="00AE15A8">
        <w:rPr>
          <w:rFonts w:ascii="仿宋" w:eastAsia="仿宋" w:hAnsi="仿宋" w:cs="Arial" w:hint="eastAsia"/>
          <w:b/>
          <w:sz w:val="24"/>
          <w:szCs w:val="30"/>
          <w:lang w:eastAsia="zh-TW"/>
        </w:rPr>
        <w:t>數智招行</w:t>
      </w:r>
      <w:proofErr w:type="gramEnd"/>
    </w:p>
    <w:p w14:paraId="3C322ECA" w14:textId="0D68AFF6" w:rsidR="00070ED0" w:rsidRPr="00AE15A8" w:rsidRDefault="00AE15A8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信息科技投入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133.50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億元，達到本公司營業淨收入的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4.38%</w:t>
      </w:r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(A股：4.37</w:t>
      </w:r>
      <w:proofErr w:type="gramStart"/>
      <w:r w:rsidR="00154481">
        <w:rPr>
          <w:rFonts w:ascii="仿宋" w:eastAsia="仿宋" w:hAnsi="仿宋" w:cs="Arial" w:hint="eastAsia"/>
          <w:sz w:val="24"/>
          <w:szCs w:val="30"/>
          <w:lang w:eastAsia="zh-TW"/>
        </w:rPr>
        <w:t>%)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  <w:proofErr w:type="gramEnd"/>
    </w:p>
    <w:p w14:paraId="6C39DA3D" w14:textId="50D7903B" w:rsidR="00070ED0" w:rsidRPr="00AE15A8" w:rsidRDefault="00AE15A8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研發人員達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10,900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人，</w:t>
      </w:r>
      <w:proofErr w:type="gramStart"/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佔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本集團員工總數的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9.30%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027654B8" w14:textId="45DC2B92" w:rsidR="00E00C46" w:rsidRPr="00AE15A8" w:rsidRDefault="00AE15A8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金融科技創新項目基金圍繞數字化經營與管理、前沿科技能力、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B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端生態、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C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端生態、創新孵化五大方向，全面推進本公司數字化能力建設。全行累計立項金融科技創新項目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4,410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個，累計上線項目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3,793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個</w:t>
      </w:r>
      <w:r w:rsidR="00837999">
        <w:rPr>
          <w:rFonts w:ascii="仿宋" w:eastAsia="仿宋" w:hAnsi="仿宋" w:cs="Arial" w:hint="eastAsia"/>
          <w:sz w:val="24"/>
          <w:szCs w:val="30"/>
          <w:lang w:eastAsia="zh-TW"/>
        </w:rPr>
        <w:t>。</w:t>
      </w:r>
    </w:p>
    <w:p w14:paraId="109CC261" w14:textId="53D3B5B8" w:rsidR="00A51674" w:rsidRPr="00AE15A8" w:rsidRDefault="00AE15A8" w:rsidP="00493C23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招商銀行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App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和掌上生活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App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的月活躍用戶（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MAU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）達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1.23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億戶，</w:t>
      </w:r>
      <w:proofErr w:type="gramStart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批發線上渠道</w:t>
      </w:r>
      <w:proofErr w:type="gramEnd"/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月均活躍客戶數達</w:t>
      </w:r>
      <w:r w:rsidRPr="00AE15A8">
        <w:rPr>
          <w:rFonts w:ascii="仿宋" w:eastAsia="仿宋" w:hAnsi="仿宋" w:cs="Arial"/>
          <w:sz w:val="24"/>
          <w:szCs w:val="30"/>
          <w:lang w:eastAsia="zh-TW"/>
        </w:rPr>
        <w:t>194.94</w:t>
      </w:r>
      <w:r w:rsidRPr="00AE15A8">
        <w:rPr>
          <w:rFonts w:ascii="仿宋" w:eastAsia="仿宋" w:hAnsi="仿宋" w:cs="Arial" w:hint="eastAsia"/>
          <w:sz w:val="24"/>
          <w:szCs w:val="30"/>
          <w:lang w:eastAsia="zh-TW"/>
        </w:rPr>
        <w:t>萬戶。</w:t>
      </w:r>
    </w:p>
    <w:p w14:paraId="68D9CB2B" w14:textId="29A1776B" w:rsidR="00070ED0" w:rsidRPr="00AE15A8" w:rsidRDefault="00154481" w:rsidP="00DD3108">
      <w:pPr>
        <w:pStyle w:val="a3"/>
        <w:numPr>
          <w:ilvl w:val="0"/>
          <w:numId w:val="10"/>
        </w:numPr>
        <w:ind w:left="426" w:rightChars="-162" w:right="-340" w:firstLineChars="0"/>
        <w:rPr>
          <w:rFonts w:ascii="仿宋" w:eastAsia="仿宋" w:hAnsi="仿宋" w:cs="Arial" w:hint="eastAsia"/>
          <w:sz w:val="24"/>
          <w:szCs w:val="30"/>
          <w:lang w:eastAsia="zh-TW"/>
        </w:rPr>
      </w:pPr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「</w:t>
      </w:r>
      <w:r w:rsidRPr="00154481">
        <w:rPr>
          <w:rFonts w:ascii="仿宋" w:eastAsia="仿宋" w:hAnsi="仿宋" w:cs="Arial"/>
          <w:sz w:val="24"/>
          <w:szCs w:val="30"/>
          <w:lang w:eastAsia="zh-TW"/>
        </w:rPr>
        <w:t>AI+</w:t>
      </w:r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金融」全面推進，搭建千卡</w:t>
      </w:r>
      <w:proofErr w:type="gramStart"/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算力集</w:t>
      </w:r>
      <w:proofErr w:type="gramEnd"/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群，</w:t>
      </w:r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發佈中國銀行業首</w:t>
      </w:r>
      <w:proofErr w:type="gramStart"/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個</w:t>
      </w:r>
      <w:proofErr w:type="gramEnd"/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開源百億參數金融大模型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「</w:t>
      </w:r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一招</w:t>
      </w:r>
      <w:r w:rsidR="00CE27C9">
        <w:rPr>
          <w:rFonts w:ascii="仿宋" w:eastAsia="仿宋" w:hAnsi="仿宋" w:cs="Arial" w:hint="eastAsia"/>
          <w:sz w:val="24"/>
          <w:szCs w:val="30"/>
          <w:lang w:eastAsia="zh-TW"/>
        </w:rPr>
        <w:t>」</w:t>
      </w:r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，</w:t>
      </w:r>
      <w:proofErr w:type="gramStart"/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開源了</w:t>
      </w:r>
      <w:proofErr w:type="gramEnd"/>
      <w:r w:rsidRPr="00154481">
        <w:rPr>
          <w:rFonts w:ascii="仿宋" w:eastAsia="仿宋" w:hAnsi="仿宋" w:cs="Arial"/>
          <w:sz w:val="24"/>
          <w:szCs w:val="30"/>
          <w:lang w:eastAsia="zh-TW"/>
        </w:rPr>
        <w:t>2TB</w:t>
      </w:r>
      <w:r w:rsidRPr="00154481">
        <w:rPr>
          <w:rFonts w:ascii="仿宋" w:eastAsia="仿宋" w:hAnsi="仿宋" w:cs="Arial" w:hint="eastAsia"/>
          <w:sz w:val="24"/>
          <w:szCs w:val="30"/>
          <w:lang w:eastAsia="zh-TW"/>
        </w:rPr>
        <w:t>的金融行業高質量數據集</w:t>
      </w:r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；全行大模型應用場景超</w:t>
      </w:r>
      <w:r w:rsidR="00AE15A8" w:rsidRPr="00AE15A8">
        <w:rPr>
          <w:rFonts w:ascii="仿宋" w:eastAsia="仿宋" w:hAnsi="仿宋" w:cs="Arial"/>
          <w:sz w:val="24"/>
          <w:szCs w:val="30"/>
          <w:lang w:eastAsia="zh-TW"/>
        </w:rPr>
        <w:t>120</w:t>
      </w:r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個，覆蓋零售及對公客戶服務、</w:t>
      </w:r>
      <w:proofErr w:type="gramStart"/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風控</w:t>
      </w:r>
      <w:proofErr w:type="gramEnd"/>
      <w:r w:rsidR="00AE15A8" w:rsidRPr="00AE15A8">
        <w:rPr>
          <w:rFonts w:ascii="仿宋" w:eastAsia="仿宋" w:hAnsi="仿宋" w:cs="Arial" w:hint="eastAsia"/>
          <w:sz w:val="24"/>
          <w:szCs w:val="30"/>
          <w:lang w:eastAsia="zh-TW"/>
        </w:rPr>
        <w:t>、運營、辦公等多個領域。</w:t>
      </w:r>
    </w:p>
    <w:p w14:paraId="06542FDA" w14:textId="77777777" w:rsidR="00A51674" w:rsidRPr="00AE15A8" w:rsidRDefault="00A51674" w:rsidP="00070ED0">
      <w:pPr>
        <w:pStyle w:val="a3"/>
        <w:ind w:left="426" w:rightChars="-162" w:right="-340" w:firstLineChars="0" w:firstLine="0"/>
        <w:rPr>
          <w:rFonts w:ascii="仿宋" w:eastAsia="仿宋" w:hAnsi="仿宋" w:cs="Arial" w:hint="eastAsia"/>
          <w:sz w:val="24"/>
          <w:szCs w:val="30"/>
          <w:lang w:eastAsia="zh-TW"/>
        </w:rPr>
      </w:pPr>
    </w:p>
    <w:p w14:paraId="66BC8201" w14:textId="77777777" w:rsidR="00D25C2E" w:rsidRPr="00AE15A8" w:rsidRDefault="00D25C2E" w:rsidP="00070ED0">
      <w:pPr>
        <w:pStyle w:val="a3"/>
        <w:ind w:left="426" w:rightChars="-162" w:right="-340" w:firstLineChars="0" w:firstLine="0"/>
        <w:rPr>
          <w:rFonts w:ascii="仿宋" w:eastAsia="仿宋" w:hAnsi="仿宋" w:cs="Arial" w:hint="eastAsia"/>
          <w:sz w:val="24"/>
          <w:szCs w:val="30"/>
          <w:lang w:eastAsia="zh-TW"/>
        </w:rPr>
      </w:pPr>
    </w:p>
    <w:p w14:paraId="68D448F6" w14:textId="6D3CE0BC" w:rsidR="00036BFF" w:rsidRPr="00EA2B13" w:rsidRDefault="00AE15A8" w:rsidP="00147C20">
      <w:pPr>
        <w:rPr>
          <w:rFonts w:ascii="Arial" w:eastAsiaTheme="majorEastAsia" w:hAnsi="Arial" w:cs="Arial"/>
          <w:sz w:val="18"/>
          <w:szCs w:val="18"/>
          <w:lang w:eastAsia="zh-TW"/>
        </w:rPr>
      </w:pP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注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1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：除特別標示外，以上財務</w:t>
      </w:r>
      <w:proofErr w:type="gramStart"/>
      <w:r w:rsidRPr="00EA2B13">
        <w:rPr>
          <w:rFonts w:ascii="Arial" w:eastAsiaTheme="majorEastAsia" w:hAnsi="Arial" w:cs="Arial"/>
          <w:sz w:val="18"/>
          <w:szCs w:val="18"/>
          <w:lang w:eastAsia="zh-TW"/>
        </w:rPr>
        <w:t>數據均為本</w:t>
      </w:r>
      <w:proofErr w:type="gramEnd"/>
      <w:r w:rsidRPr="00EA2B13">
        <w:rPr>
          <w:rFonts w:ascii="Arial" w:eastAsiaTheme="majorEastAsia" w:hAnsi="Arial" w:cs="Arial"/>
          <w:sz w:val="18"/>
          <w:szCs w:val="18"/>
          <w:lang w:eastAsia="zh-TW"/>
        </w:rPr>
        <w:t>集團口徑</w:t>
      </w:r>
      <w:r w:rsidR="00154481">
        <w:rPr>
          <w:rFonts w:ascii="Arial" w:eastAsiaTheme="majorEastAsia" w:hAnsi="Arial" w:cs="Arial" w:hint="eastAsia"/>
          <w:sz w:val="18"/>
          <w:szCs w:val="18"/>
          <w:lang w:eastAsia="zh-TW"/>
        </w:rPr>
        <w:t>，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業務數據</w:t>
      </w:r>
      <w:r w:rsidR="00154481">
        <w:rPr>
          <w:rFonts w:ascii="Arial" w:eastAsiaTheme="majorEastAsia" w:hAnsi="Arial" w:cs="Arial" w:hint="eastAsia"/>
          <w:sz w:val="18"/>
          <w:szCs w:val="18"/>
          <w:lang w:eastAsia="zh-TW"/>
        </w:rPr>
        <w:t>以及零售和公司</w:t>
      </w:r>
      <w:proofErr w:type="gramStart"/>
      <w:r w:rsidR="00154481">
        <w:rPr>
          <w:rFonts w:ascii="Arial" w:eastAsiaTheme="majorEastAsia" w:hAnsi="Arial" w:cs="Arial" w:hint="eastAsia"/>
          <w:sz w:val="18"/>
          <w:szCs w:val="18"/>
          <w:lang w:eastAsia="zh-TW"/>
        </w:rPr>
        <w:t>貸款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均為本公司</w:t>
      </w:r>
      <w:proofErr w:type="gramEnd"/>
      <w:r w:rsidRPr="00EA2B13">
        <w:rPr>
          <w:rFonts w:ascii="Arial" w:eastAsiaTheme="majorEastAsia" w:hAnsi="Arial" w:cs="Arial"/>
          <w:sz w:val="18"/>
          <w:szCs w:val="18"/>
          <w:lang w:eastAsia="zh-TW"/>
        </w:rPr>
        <w:t>口徑，及以人民幣為單位。</w:t>
      </w:r>
    </w:p>
    <w:p w14:paraId="32FFF516" w14:textId="6500CC8E" w:rsidR="000C4D13" w:rsidRPr="00EA2B13" w:rsidRDefault="00AE15A8" w:rsidP="00147C20">
      <w:pPr>
        <w:rPr>
          <w:rFonts w:ascii="Arial" w:eastAsiaTheme="majorEastAsia" w:hAnsi="Arial" w:cs="Arial"/>
          <w:sz w:val="18"/>
          <w:szCs w:val="18"/>
          <w:lang w:eastAsia="zh-TW"/>
        </w:rPr>
      </w:pP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注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2</w:t>
      </w:r>
      <w:r w:rsidRPr="00EA2B13">
        <w:rPr>
          <w:rFonts w:ascii="Arial" w:eastAsiaTheme="majorEastAsia" w:hAnsi="Arial" w:cs="Arial"/>
          <w:sz w:val="18"/>
          <w:szCs w:val="18"/>
          <w:lang w:eastAsia="zh-TW"/>
        </w:rPr>
        <w:t>：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招商銀行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H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股的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2024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年</w:t>
      </w:r>
      <w:r w:rsidR="00EA2B13" w:rsidRPr="00EA2B13">
        <w:rPr>
          <w:rFonts w:ascii="Arial" w:eastAsiaTheme="majorEastAsia" w:hAnsi="Arial" w:cs="Arial"/>
          <w:sz w:val="18"/>
          <w:szCs w:val="18"/>
          <w:lang w:eastAsia="zh-TW"/>
        </w:rPr>
        <w:t>全年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財務報告按國際財務報告</w:t>
      </w:r>
      <w:r w:rsidR="00154481">
        <w:rPr>
          <w:rFonts w:ascii="Arial" w:eastAsiaTheme="majorEastAsia" w:hAnsi="Arial" w:cs="Arial" w:hint="eastAsia"/>
          <w:sz w:val="18"/>
          <w:szCs w:val="18"/>
          <w:lang w:eastAsia="zh-TW"/>
        </w:rPr>
        <w:t>會計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準則編制，按中國會計準則編制的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A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股財務資料如果與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H</w:t>
      </w:r>
      <w:r w:rsidR="00CE27C9" w:rsidRPr="00EA2B13">
        <w:rPr>
          <w:rFonts w:ascii="Arial" w:eastAsiaTheme="majorEastAsia" w:hAnsi="Arial" w:cs="Arial"/>
          <w:sz w:val="18"/>
          <w:szCs w:val="18"/>
          <w:lang w:eastAsia="zh-TW"/>
        </w:rPr>
        <w:t>股財務數據不同，則另行標示。</w:t>
      </w:r>
    </w:p>
    <w:sectPr w:rsidR="000C4D13" w:rsidRPr="00EA2B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1F165" w14:textId="77777777" w:rsidR="00395E94" w:rsidRDefault="00395E94" w:rsidP="00190012">
      <w:r>
        <w:separator/>
      </w:r>
    </w:p>
  </w:endnote>
  <w:endnote w:type="continuationSeparator" w:id="0">
    <w:p w14:paraId="36FA49ED" w14:textId="77777777" w:rsidR="00395E94" w:rsidRDefault="00395E94" w:rsidP="0019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019404"/>
      <w:docPartObj>
        <w:docPartGallery w:val="Page Numbers (Bottom of Page)"/>
        <w:docPartUnique/>
      </w:docPartObj>
    </w:sdtPr>
    <w:sdtEndPr/>
    <w:sdtContent>
      <w:p w14:paraId="11E4EF47" w14:textId="77777777" w:rsidR="00190012" w:rsidRDefault="00190012" w:rsidP="001900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CAA" w:rsidRPr="00C21CAA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B690" w14:textId="77777777" w:rsidR="00395E94" w:rsidRDefault="00395E94" w:rsidP="00190012">
      <w:r>
        <w:separator/>
      </w:r>
    </w:p>
  </w:footnote>
  <w:footnote w:type="continuationSeparator" w:id="0">
    <w:p w14:paraId="3E9D83B7" w14:textId="77777777" w:rsidR="00395E94" w:rsidRDefault="00395E94" w:rsidP="0019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BBA"/>
    <w:multiLevelType w:val="hybridMultilevel"/>
    <w:tmpl w:val="508A303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F903F6"/>
    <w:multiLevelType w:val="hybridMultilevel"/>
    <w:tmpl w:val="41968A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D0D05D4"/>
    <w:multiLevelType w:val="hybridMultilevel"/>
    <w:tmpl w:val="A4141D1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81468A"/>
    <w:multiLevelType w:val="hybridMultilevel"/>
    <w:tmpl w:val="994A1C3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09E5572"/>
    <w:multiLevelType w:val="hybridMultilevel"/>
    <w:tmpl w:val="7E04CF2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697D2A"/>
    <w:multiLevelType w:val="hybridMultilevel"/>
    <w:tmpl w:val="0E24BE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AC4A34"/>
    <w:multiLevelType w:val="hybridMultilevel"/>
    <w:tmpl w:val="E4A41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534412E9"/>
    <w:multiLevelType w:val="multilevel"/>
    <w:tmpl w:val="534412E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8540F5"/>
    <w:multiLevelType w:val="multilevel"/>
    <w:tmpl w:val="638540F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EAA1BB6"/>
    <w:multiLevelType w:val="multilevel"/>
    <w:tmpl w:val="7EAA1BB6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4428820">
    <w:abstractNumId w:val="9"/>
  </w:num>
  <w:num w:numId="2" w16cid:durableId="979919902">
    <w:abstractNumId w:val="8"/>
  </w:num>
  <w:num w:numId="3" w16cid:durableId="1278950993">
    <w:abstractNumId w:val="7"/>
  </w:num>
  <w:num w:numId="4" w16cid:durableId="1840343575">
    <w:abstractNumId w:val="5"/>
  </w:num>
  <w:num w:numId="5" w16cid:durableId="1491629077">
    <w:abstractNumId w:val="6"/>
  </w:num>
  <w:num w:numId="6" w16cid:durableId="440690835">
    <w:abstractNumId w:val="3"/>
  </w:num>
  <w:num w:numId="7" w16cid:durableId="1603806533">
    <w:abstractNumId w:val="4"/>
  </w:num>
  <w:num w:numId="8" w16cid:durableId="817957742">
    <w:abstractNumId w:val="0"/>
  </w:num>
  <w:num w:numId="9" w16cid:durableId="1829781440">
    <w:abstractNumId w:val="1"/>
  </w:num>
  <w:num w:numId="10" w16cid:durableId="80635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FF"/>
    <w:rsid w:val="00036BFF"/>
    <w:rsid w:val="00051771"/>
    <w:rsid w:val="0005196F"/>
    <w:rsid w:val="00070ED0"/>
    <w:rsid w:val="000A769A"/>
    <w:rsid w:val="000C4D13"/>
    <w:rsid w:val="001248D0"/>
    <w:rsid w:val="001303BD"/>
    <w:rsid w:val="001345FB"/>
    <w:rsid w:val="00147C20"/>
    <w:rsid w:val="00154481"/>
    <w:rsid w:val="00190012"/>
    <w:rsid w:val="001A6AE2"/>
    <w:rsid w:val="001B00DC"/>
    <w:rsid w:val="00257C54"/>
    <w:rsid w:val="00280661"/>
    <w:rsid w:val="0028597E"/>
    <w:rsid w:val="0029335E"/>
    <w:rsid w:val="003164A9"/>
    <w:rsid w:val="00392080"/>
    <w:rsid w:val="00395E94"/>
    <w:rsid w:val="003A1090"/>
    <w:rsid w:val="00480F18"/>
    <w:rsid w:val="00493C23"/>
    <w:rsid w:val="00584EBE"/>
    <w:rsid w:val="00696DED"/>
    <w:rsid w:val="006A1EF6"/>
    <w:rsid w:val="006B7362"/>
    <w:rsid w:val="006C65F8"/>
    <w:rsid w:val="006E53E4"/>
    <w:rsid w:val="007B6F42"/>
    <w:rsid w:val="007D0D1E"/>
    <w:rsid w:val="007F72C8"/>
    <w:rsid w:val="00837999"/>
    <w:rsid w:val="008728F1"/>
    <w:rsid w:val="008A68E6"/>
    <w:rsid w:val="008A79AA"/>
    <w:rsid w:val="008E05FB"/>
    <w:rsid w:val="008E2F67"/>
    <w:rsid w:val="008E485B"/>
    <w:rsid w:val="009B18BB"/>
    <w:rsid w:val="009C03AA"/>
    <w:rsid w:val="009D31E4"/>
    <w:rsid w:val="009D59D9"/>
    <w:rsid w:val="009E57E5"/>
    <w:rsid w:val="009F5FCC"/>
    <w:rsid w:val="00A51674"/>
    <w:rsid w:val="00A82A79"/>
    <w:rsid w:val="00A947F6"/>
    <w:rsid w:val="00A96740"/>
    <w:rsid w:val="00AA5A17"/>
    <w:rsid w:val="00AE15A8"/>
    <w:rsid w:val="00AE3DE4"/>
    <w:rsid w:val="00B4081B"/>
    <w:rsid w:val="00BC20AC"/>
    <w:rsid w:val="00C048F6"/>
    <w:rsid w:val="00C21CAA"/>
    <w:rsid w:val="00CC5B7F"/>
    <w:rsid w:val="00CE27C9"/>
    <w:rsid w:val="00D25C2E"/>
    <w:rsid w:val="00D378C5"/>
    <w:rsid w:val="00DA2424"/>
    <w:rsid w:val="00DA3ED6"/>
    <w:rsid w:val="00DB4696"/>
    <w:rsid w:val="00DB6328"/>
    <w:rsid w:val="00DD3108"/>
    <w:rsid w:val="00DF46E7"/>
    <w:rsid w:val="00E00C46"/>
    <w:rsid w:val="00E16476"/>
    <w:rsid w:val="00E33D57"/>
    <w:rsid w:val="00EA2B13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7362C"/>
  <w15:chartTrackingRefBased/>
  <w15:docId w15:val="{B1F2261E-49AA-4015-83A6-0714709E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C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90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00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0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001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0F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0F18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80F18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480F18"/>
    <w:rPr>
      <w:sz w:val="18"/>
      <w:szCs w:val="18"/>
    </w:rPr>
  </w:style>
  <w:style w:type="character" w:styleId="ac">
    <w:name w:val="footnote reference"/>
    <w:qFormat/>
    <w:rsid w:val="00480F18"/>
    <w:rPr>
      <w:vertAlign w:val="superscript"/>
    </w:rPr>
  </w:style>
  <w:style w:type="paragraph" w:styleId="ad">
    <w:name w:val="Revision"/>
    <w:hidden/>
    <w:uiPriority w:val="99"/>
    <w:semiHidden/>
    <w:rsid w:val="0015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CMB China HeadOffice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雷雨/01135919</dc:creator>
  <cp:keywords/>
  <dc:description/>
  <cp:lastModifiedBy>Vivian Wang</cp:lastModifiedBy>
  <cp:revision>19</cp:revision>
  <cp:lastPrinted>2025-03-18T06:29:00Z</cp:lastPrinted>
  <dcterms:created xsi:type="dcterms:W3CDTF">2025-03-18T05:08:00Z</dcterms:created>
  <dcterms:modified xsi:type="dcterms:W3CDTF">2025-03-25T08:18:00Z</dcterms:modified>
</cp:coreProperties>
</file>