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CD3D" w14:textId="3D500332" w:rsidR="00061E17" w:rsidRPr="00CF4670" w:rsidRDefault="007C101A">
      <w:pPr>
        <w:widowControl w:val="0"/>
        <w:spacing w:after="0" w:line="240" w:lineRule="auto"/>
        <w:jc w:val="center"/>
        <w:rPr>
          <w:rFonts w:ascii="Arial" w:eastAsia="宋体" w:hAnsi="Arial" w:cs="Arial"/>
          <w:b/>
          <w:kern w:val="2"/>
          <w:sz w:val="32"/>
          <w:szCs w:val="32"/>
          <w:lang w:val="en-US"/>
        </w:rPr>
      </w:pPr>
      <w:r w:rsidRPr="00CF4670">
        <w:rPr>
          <w:rFonts w:ascii="Arial" w:eastAsia="宋体" w:hAnsi="Arial" w:cs="Arial"/>
          <w:b/>
          <w:kern w:val="2"/>
          <w:sz w:val="32"/>
          <w:szCs w:val="32"/>
          <w:lang w:val="en-US"/>
        </w:rPr>
        <w:t>招商银行公布</w:t>
      </w:r>
      <w:r w:rsidRPr="00CF4670">
        <w:rPr>
          <w:rFonts w:ascii="Arial" w:eastAsia="宋体" w:hAnsi="Arial" w:cs="Arial"/>
          <w:b/>
          <w:kern w:val="2"/>
          <w:sz w:val="32"/>
          <w:szCs w:val="32"/>
          <w:lang w:val="en-US"/>
        </w:rPr>
        <w:t>202</w:t>
      </w:r>
      <w:r w:rsidR="00CF4670" w:rsidRPr="00CF4670">
        <w:rPr>
          <w:rFonts w:ascii="Arial" w:eastAsia="宋体" w:hAnsi="Arial" w:cs="Arial"/>
          <w:b/>
          <w:kern w:val="2"/>
          <w:sz w:val="32"/>
          <w:szCs w:val="32"/>
          <w:lang w:val="en-US"/>
        </w:rPr>
        <w:t>3</w:t>
      </w:r>
      <w:r w:rsidRPr="00CF4670">
        <w:rPr>
          <w:rFonts w:ascii="Arial" w:eastAsia="宋体" w:hAnsi="Arial" w:cs="Arial"/>
          <w:b/>
          <w:kern w:val="2"/>
          <w:sz w:val="32"/>
          <w:szCs w:val="32"/>
          <w:lang w:val="en-US"/>
        </w:rPr>
        <w:t>年中期业绩</w:t>
      </w:r>
    </w:p>
    <w:p w14:paraId="7AC3580E" w14:textId="63135834" w:rsidR="00061E17" w:rsidRPr="00CF4670" w:rsidRDefault="00AB35A9">
      <w:pPr>
        <w:widowControl w:val="0"/>
        <w:spacing w:after="0" w:line="240" w:lineRule="auto"/>
        <w:jc w:val="center"/>
        <w:rPr>
          <w:rFonts w:ascii="Arial" w:eastAsia="宋体" w:hAnsi="Arial" w:cs="Arial"/>
          <w:b/>
          <w:color w:val="000000"/>
          <w:kern w:val="2"/>
          <w:sz w:val="28"/>
          <w:szCs w:val="28"/>
          <w:lang w:val="en-US"/>
        </w:rPr>
      </w:pPr>
      <w:r w:rsidRPr="00AB35A9">
        <w:rPr>
          <w:rFonts w:ascii="Arial" w:eastAsia="宋体" w:hAnsi="Arial" w:cs="Arial" w:hint="eastAsia"/>
          <w:b/>
          <w:color w:val="000000"/>
          <w:kern w:val="2"/>
          <w:sz w:val="28"/>
          <w:szCs w:val="28"/>
          <w:lang w:val="en-US"/>
        </w:rPr>
        <w:t>净利润增长</w:t>
      </w:r>
      <w:r w:rsidRPr="00AB35A9">
        <w:rPr>
          <w:rFonts w:ascii="Arial" w:eastAsia="宋体" w:hAnsi="Arial" w:cs="Arial" w:hint="eastAsia"/>
          <w:b/>
          <w:color w:val="000000"/>
          <w:kern w:val="2"/>
          <w:sz w:val="28"/>
          <w:szCs w:val="28"/>
          <w:lang w:val="en-US"/>
        </w:rPr>
        <w:t>9</w:t>
      </w:r>
      <w:r w:rsidRPr="00AB35A9">
        <w:rPr>
          <w:rFonts w:ascii="Arial" w:eastAsia="宋体" w:hAnsi="Arial" w:cs="Arial"/>
          <w:b/>
          <w:color w:val="000000"/>
          <w:kern w:val="2"/>
          <w:sz w:val="28"/>
          <w:szCs w:val="28"/>
          <w:lang w:val="en-US"/>
        </w:rPr>
        <w:t>.12%</w:t>
      </w:r>
      <w:r w:rsidRPr="00AB35A9">
        <w:rPr>
          <w:rFonts w:ascii="Arial" w:eastAsia="宋体" w:hAnsi="Arial" w:cs="Arial" w:hint="eastAsia"/>
          <w:b/>
          <w:color w:val="000000"/>
          <w:kern w:val="2"/>
          <w:sz w:val="28"/>
          <w:szCs w:val="28"/>
          <w:lang w:val="en-US"/>
        </w:rPr>
        <w:t>，</w:t>
      </w:r>
      <w:r w:rsidR="003E3084">
        <w:rPr>
          <w:rFonts w:ascii="Arial" w:eastAsia="宋体" w:hAnsi="Arial" w:cs="Arial" w:hint="eastAsia"/>
          <w:b/>
          <w:color w:val="000000"/>
          <w:kern w:val="2"/>
          <w:sz w:val="28"/>
          <w:szCs w:val="28"/>
          <w:lang w:val="en-US"/>
        </w:rPr>
        <w:t>资产质量保持稳定</w:t>
      </w:r>
    </w:p>
    <w:p w14:paraId="3315F916" w14:textId="5B052333" w:rsidR="00061E17" w:rsidRPr="009432A2" w:rsidRDefault="009432A2">
      <w:pPr>
        <w:widowControl w:val="0"/>
        <w:spacing w:after="0" w:line="240" w:lineRule="auto"/>
        <w:jc w:val="center"/>
        <w:rPr>
          <w:rFonts w:ascii="Arial" w:eastAsia="宋体" w:hAnsi="Arial" w:cs="Arial"/>
          <w:b/>
          <w:kern w:val="2"/>
          <w:sz w:val="28"/>
          <w:szCs w:val="28"/>
          <w:lang w:val="en-US"/>
        </w:rPr>
      </w:pPr>
      <w:r w:rsidRPr="009432A2">
        <w:rPr>
          <w:rFonts w:ascii="Arial" w:eastAsia="宋体" w:hAnsi="Arial" w:cs="Arial"/>
          <w:b/>
          <w:noProof/>
          <w:kern w:val="2"/>
          <w:sz w:val="23"/>
          <w:szCs w:val="23"/>
          <w:lang w:val="en-US"/>
        </w:rPr>
        <mc:AlternateContent>
          <mc:Choice Requires="wps">
            <w:drawing>
              <wp:anchor distT="0" distB="0" distL="114300" distR="114300" simplePos="0" relativeHeight="251660288" behindDoc="1" locked="0" layoutInCell="1" allowOverlap="1" wp14:anchorId="3CCB52AA" wp14:editId="6B1AFA0F">
                <wp:simplePos x="0" y="0"/>
                <wp:positionH relativeFrom="column">
                  <wp:posOffset>-57150</wp:posOffset>
                </wp:positionH>
                <wp:positionV relativeFrom="paragraph">
                  <wp:posOffset>173083</wp:posOffset>
                </wp:positionV>
                <wp:extent cx="2724785" cy="333375"/>
                <wp:effectExtent l="0" t="0" r="8890" b="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785" cy="333375"/>
                        </a:xfrm>
                        <a:prstGeom prst="roundRect">
                          <a:avLst>
                            <a:gd name="adj" fmla="val 16667"/>
                          </a:avLst>
                        </a:prstGeom>
                        <a:gradFill rotWithShape="0">
                          <a:gsLst>
                            <a:gs pos="0">
                              <a:srgbClr val="FF0000"/>
                            </a:gs>
                            <a:gs pos="100000">
                              <a:srgbClr val="FF0000">
                                <a:gamma/>
                                <a:tint val="20000"/>
                                <a:invGamma/>
                              </a:srgbClr>
                            </a:gs>
                          </a:gsLst>
                          <a:lin ang="2700000" scaled="1"/>
                        </a:gradFill>
                        <a:ln>
                          <a:noFill/>
                        </a:ln>
                      </wps:spPr>
                      <wps:bodyPr rot="0" vert="horz" wrap="square" lIns="91440" tIns="45720" rIns="91440" bIns="45720" anchor="t" anchorCtr="0" upright="1">
                        <a:noAutofit/>
                      </wps:bodyPr>
                    </wps:wsp>
                  </a:graphicData>
                </a:graphic>
              </wp:anchor>
            </w:drawing>
          </mc:Choice>
          <mc:Fallback>
            <w:pict>
              <v:roundrect w14:anchorId="15F0685A" id="Rectangle: Rounded Corners 12" o:spid="_x0000_s1026" style="position:absolute;margin-left:-4.5pt;margin-top:13.65pt;width:214.55pt;height:26.25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" fillcolor="red" stroked="f">
                <v:fill color2="#fcc" angle="45" focus="100%" type="gradient"/>
              </v:roundrect>
            </w:pict>
          </mc:Fallback>
        </mc:AlternateContent>
      </w:r>
    </w:p>
    <w:p w14:paraId="6D019F53" w14:textId="5AE9EBBA" w:rsidR="00061E17" w:rsidRPr="009432A2" w:rsidRDefault="007C101A">
      <w:pPr>
        <w:widowControl w:val="0"/>
        <w:spacing w:after="0" w:line="240" w:lineRule="auto"/>
        <w:jc w:val="both"/>
        <w:rPr>
          <w:rFonts w:ascii="Arial" w:eastAsia="宋体" w:hAnsi="Arial" w:cs="Arial"/>
          <w:b/>
          <w:color w:val="FF0000"/>
          <w:kern w:val="2"/>
          <w:sz w:val="23"/>
          <w:szCs w:val="23"/>
          <w:lang w:val="en-US"/>
        </w:rPr>
      </w:pPr>
      <w:r w:rsidRPr="009432A2">
        <w:rPr>
          <w:rFonts w:ascii="Arial" w:eastAsia="宋体" w:hAnsi="Arial" w:cs="Arial"/>
          <w:b/>
          <w:kern w:val="2"/>
          <w:sz w:val="23"/>
          <w:szCs w:val="23"/>
          <w:lang w:val="en-US"/>
        </w:rPr>
        <w:t>202</w:t>
      </w:r>
      <w:r w:rsidR="00CF4670" w:rsidRPr="009432A2">
        <w:rPr>
          <w:rFonts w:ascii="Arial" w:eastAsia="宋体" w:hAnsi="Arial" w:cs="Arial"/>
          <w:b/>
          <w:kern w:val="2"/>
          <w:sz w:val="23"/>
          <w:szCs w:val="23"/>
          <w:lang w:val="en-US"/>
        </w:rPr>
        <w:t>3</w:t>
      </w:r>
      <w:r w:rsidRPr="009432A2">
        <w:rPr>
          <w:rFonts w:ascii="Arial" w:eastAsia="宋体" w:hAnsi="Arial" w:cs="Arial"/>
          <w:b/>
          <w:kern w:val="2"/>
          <w:sz w:val="23"/>
          <w:szCs w:val="23"/>
          <w:lang w:val="en-US"/>
        </w:rPr>
        <w:t>年中期业绩摘要（单位</w:t>
      </w:r>
      <w:r w:rsidR="00CF4670" w:rsidRPr="009432A2">
        <w:rPr>
          <w:rFonts w:ascii="Arial" w:eastAsia="宋体" w:hAnsi="Arial" w:cs="Arial"/>
          <w:b/>
          <w:kern w:val="2"/>
          <w:sz w:val="23"/>
          <w:szCs w:val="23"/>
          <w:lang w:val="en-US"/>
        </w:rPr>
        <w:t>：</w:t>
      </w:r>
      <w:r w:rsidRPr="009432A2">
        <w:rPr>
          <w:rFonts w:ascii="Arial" w:eastAsia="宋体" w:hAnsi="Arial" w:cs="Arial"/>
          <w:b/>
          <w:kern w:val="2"/>
          <w:sz w:val="23"/>
          <w:szCs w:val="23"/>
          <w:lang w:val="en-US"/>
        </w:rPr>
        <w:t>人民币）</w:t>
      </w:r>
    </w:p>
    <w:p w14:paraId="342970E1" w14:textId="43C3F94D" w:rsidR="00061E17" w:rsidRPr="00CF4670" w:rsidRDefault="007C101A">
      <w:pPr>
        <w:widowControl w:val="0"/>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b/>
          <w:color w:val="000000"/>
          <w:kern w:val="2"/>
          <w:lang w:val="en-US"/>
        </w:rPr>
      </w:pPr>
      <w:r w:rsidRPr="00CF4670">
        <w:rPr>
          <w:rFonts w:ascii="Arial" w:eastAsia="宋体" w:hAnsi="Arial" w:cs="Arial"/>
          <w:b/>
          <w:color w:val="000000"/>
          <w:kern w:val="2"/>
          <w:lang w:val="en-US"/>
        </w:rPr>
        <w:t>经营</w:t>
      </w:r>
      <w:r w:rsidR="00CF4670" w:rsidRPr="009432A2">
        <w:rPr>
          <w:rFonts w:ascii="Arial" w:eastAsia="宋体" w:hAnsi="Arial" w:cs="Arial" w:hint="eastAsia"/>
          <w:b/>
          <w:color w:val="000000"/>
          <w:kern w:val="2"/>
          <w:lang w:val="en-US"/>
        </w:rPr>
        <w:t>业绩稳中有进，盈利水平维持高位</w:t>
      </w:r>
    </w:p>
    <w:p w14:paraId="78BBD8EE" w14:textId="77777777" w:rsidR="006F29E4" w:rsidRPr="00CF4670" w:rsidRDefault="006F29E4" w:rsidP="006F29E4">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color w:val="000000"/>
          <w:kern w:val="2"/>
          <w:lang w:val="en-US"/>
        </w:rPr>
      </w:pPr>
      <w:r w:rsidRPr="00CF4670">
        <w:rPr>
          <w:rFonts w:ascii="Arial" w:eastAsia="宋体" w:hAnsi="Arial" w:cs="Arial"/>
          <w:color w:val="000000"/>
          <w:kern w:val="2"/>
          <w:lang w:val="en-US"/>
        </w:rPr>
        <w:t>归属于本行股东的净利润</w:t>
      </w:r>
      <w:r w:rsidRPr="00CF4670">
        <w:rPr>
          <w:rFonts w:ascii="Arial" w:eastAsia="宋体" w:hAnsi="Arial" w:cs="Arial"/>
          <w:color w:val="000000"/>
          <w:kern w:val="2"/>
          <w:lang w:val="en-US"/>
        </w:rPr>
        <w:t>757.52</w:t>
      </w:r>
      <w:r w:rsidRPr="00CF4670">
        <w:rPr>
          <w:rFonts w:ascii="Arial" w:eastAsia="宋体" w:hAnsi="Arial" w:cs="Arial"/>
          <w:color w:val="000000"/>
          <w:kern w:val="2"/>
          <w:lang w:val="en-US"/>
        </w:rPr>
        <w:t>亿元，同比增长</w:t>
      </w:r>
      <w:r w:rsidRPr="00CF4670">
        <w:rPr>
          <w:rFonts w:ascii="Arial" w:eastAsia="宋体" w:hAnsi="Arial" w:cs="Arial"/>
          <w:color w:val="000000"/>
          <w:kern w:val="2"/>
          <w:lang w:val="en-US"/>
        </w:rPr>
        <w:t>9.12%</w:t>
      </w:r>
      <w:r>
        <w:rPr>
          <w:rFonts w:ascii="Arial" w:eastAsia="宋体" w:hAnsi="Arial" w:cs="Arial" w:hint="eastAsia"/>
          <w:color w:val="000000"/>
          <w:kern w:val="2"/>
          <w:lang w:val="en-US"/>
        </w:rPr>
        <w:t>；</w:t>
      </w:r>
    </w:p>
    <w:p w14:paraId="15BD7D23" w14:textId="79116CA3" w:rsidR="00CF4670" w:rsidRPr="00CF4670" w:rsidRDefault="00CF4670" w:rsidP="00CF4670">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color w:val="000000"/>
          <w:kern w:val="2"/>
          <w:lang w:val="en-US"/>
        </w:rPr>
      </w:pPr>
      <w:r w:rsidRPr="00CF4670">
        <w:rPr>
          <w:rFonts w:ascii="Arial" w:eastAsia="宋体" w:hAnsi="Arial" w:cs="Arial"/>
          <w:lang w:val="en-US"/>
        </w:rPr>
        <w:t>净利息收入</w:t>
      </w:r>
      <w:r w:rsidRPr="00CF4670">
        <w:rPr>
          <w:rFonts w:ascii="Arial" w:eastAsia="宋体" w:hAnsi="Arial" w:cs="Arial"/>
          <w:lang w:val="en-US"/>
        </w:rPr>
        <w:t>1</w:t>
      </w:r>
      <w:r w:rsidR="003E3084">
        <w:rPr>
          <w:rFonts w:ascii="Arial" w:eastAsia="宋体" w:hAnsi="Arial" w:cs="Arial"/>
          <w:lang w:val="en-US"/>
        </w:rPr>
        <w:t>,</w:t>
      </w:r>
      <w:r w:rsidRPr="00CF4670">
        <w:rPr>
          <w:rFonts w:ascii="Arial" w:eastAsia="宋体" w:hAnsi="Arial" w:cs="Arial"/>
          <w:lang w:val="en-US"/>
        </w:rPr>
        <w:t>089.96</w:t>
      </w:r>
      <w:r w:rsidRPr="00CF4670">
        <w:rPr>
          <w:rFonts w:ascii="Arial" w:eastAsia="宋体" w:hAnsi="Arial" w:cs="Arial"/>
          <w:lang w:val="en-US"/>
        </w:rPr>
        <w:t>亿元，同比增长</w:t>
      </w:r>
      <w:r w:rsidRPr="00CF4670">
        <w:rPr>
          <w:rFonts w:ascii="Arial" w:eastAsia="宋体" w:hAnsi="Arial" w:cs="Arial"/>
          <w:lang w:val="en-US"/>
        </w:rPr>
        <w:t>1.21%</w:t>
      </w:r>
      <w:r w:rsidRPr="00CF4670">
        <w:rPr>
          <w:rFonts w:ascii="Arial" w:eastAsia="宋体" w:hAnsi="Arial" w:cs="Arial"/>
          <w:lang w:val="en-US"/>
        </w:rPr>
        <w:t>；</w:t>
      </w:r>
    </w:p>
    <w:p w14:paraId="0509CE8A" w14:textId="2DE72848" w:rsidR="00CF4670" w:rsidRPr="00CF4670" w:rsidRDefault="00CF4670" w:rsidP="00CF4670">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color w:val="000000"/>
          <w:kern w:val="2"/>
          <w:lang w:val="en-US"/>
        </w:rPr>
      </w:pPr>
      <w:r w:rsidRPr="00CF4670">
        <w:rPr>
          <w:rFonts w:ascii="Arial" w:eastAsia="宋体" w:hAnsi="Arial" w:cs="Arial"/>
          <w:color w:val="000000"/>
          <w:kern w:val="2"/>
          <w:lang w:val="en-US"/>
        </w:rPr>
        <w:t>营业收入</w:t>
      </w:r>
      <w:r w:rsidR="00DC39A9" w:rsidRPr="00DC39A9">
        <w:rPr>
          <w:rFonts w:ascii="Arial" w:eastAsia="宋体" w:hAnsi="Arial" w:cs="Arial"/>
          <w:color w:val="000000"/>
          <w:kern w:val="2"/>
          <w:lang w:val="en-US"/>
        </w:rPr>
        <w:t>1,784.60</w:t>
      </w:r>
      <w:r w:rsidRPr="00CF4670">
        <w:rPr>
          <w:rFonts w:ascii="Arial" w:eastAsia="宋体" w:hAnsi="Arial" w:cs="Arial"/>
          <w:color w:val="000000"/>
          <w:kern w:val="2"/>
          <w:lang w:val="en-US"/>
        </w:rPr>
        <w:t>亿元，同比</w:t>
      </w:r>
      <w:r w:rsidRPr="00CF4670">
        <w:rPr>
          <w:rFonts w:ascii="Arial" w:eastAsia="宋体" w:hAnsi="Arial" w:cs="Arial" w:hint="eastAsia"/>
          <w:color w:val="000000"/>
          <w:kern w:val="2"/>
          <w:lang w:val="en-US"/>
        </w:rPr>
        <w:t>微降</w:t>
      </w:r>
      <w:r w:rsidRPr="00CF4670">
        <w:rPr>
          <w:rFonts w:ascii="Arial" w:eastAsia="宋体" w:hAnsi="Arial" w:cs="Arial"/>
          <w:color w:val="000000"/>
          <w:kern w:val="2"/>
          <w:lang w:val="en-US"/>
        </w:rPr>
        <w:t>0.3</w:t>
      </w:r>
      <w:r w:rsidR="00C069EA">
        <w:rPr>
          <w:rFonts w:ascii="Arial" w:eastAsia="宋体" w:hAnsi="Arial" w:cs="Arial"/>
          <w:color w:val="000000"/>
          <w:kern w:val="2"/>
          <w:lang w:val="en-US"/>
        </w:rPr>
        <w:t>5</w:t>
      </w:r>
      <w:r w:rsidRPr="00CF4670">
        <w:rPr>
          <w:rFonts w:ascii="Arial" w:eastAsia="宋体" w:hAnsi="Arial" w:cs="Arial"/>
          <w:color w:val="000000"/>
          <w:kern w:val="2"/>
          <w:lang w:val="en-US"/>
        </w:rPr>
        <w:t>%</w:t>
      </w:r>
      <w:r w:rsidRPr="00CF4670">
        <w:rPr>
          <w:rFonts w:ascii="Arial" w:eastAsia="宋体" w:hAnsi="Arial" w:cs="Arial"/>
          <w:color w:val="000000"/>
          <w:kern w:val="2"/>
          <w:lang w:val="en-US"/>
        </w:rPr>
        <w:t>（</w:t>
      </w:r>
      <w:r w:rsidRPr="00090CE2">
        <w:rPr>
          <w:rFonts w:ascii="Arial" w:eastAsia="宋体" w:hAnsi="Arial" w:cs="Arial"/>
          <w:color w:val="000000"/>
          <w:kern w:val="2"/>
          <w:lang w:val="en-US"/>
        </w:rPr>
        <w:t>H</w:t>
      </w:r>
      <w:r w:rsidRPr="00090CE2">
        <w:rPr>
          <w:rFonts w:ascii="Arial" w:eastAsia="宋体" w:hAnsi="Arial" w:cs="Arial"/>
          <w:color w:val="000000"/>
          <w:kern w:val="2"/>
          <w:lang w:val="en-US"/>
        </w:rPr>
        <w:t>股：</w:t>
      </w:r>
      <w:r w:rsidRPr="00090CE2">
        <w:rPr>
          <w:rFonts w:ascii="Arial" w:eastAsia="宋体" w:hAnsi="Arial" w:cs="Arial"/>
          <w:kern w:val="2"/>
          <w:lang w:val="en-US"/>
        </w:rPr>
        <w:t>营业净收入</w:t>
      </w:r>
      <w:r w:rsidR="00AB35A9" w:rsidRPr="00090CE2">
        <w:rPr>
          <w:rFonts w:ascii="Arial" w:eastAsia="宋体" w:hAnsi="Arial" w:cs="Arial"/>
          <w:kern w:val="2"/>
          <w:lang w:val="en-US"/>
        </w:rPr>
        <w:t>1,784.65</w:t>
      </w:r>
      <w:r w:rsidRPr="00090CE2">
        <w:rPr>
          <w:rFonts w:ascii="Arial" w:eastAsia="宋体" w:hAnsi="Arial" w:cs="Arial"/>
          <w:kern w:val="2"/>
          <w:lang w:val="en-US"/>
        </w:rPr>
        <w:t>亿元，</w:t>
      </w:r>
      <w:r w:rsidR="00AB35A9" w:rsidRPr="00AB35A9">
        <w:rPr>
          <w:rFonts w:ascii="Arial" w:eastAsia="宋体" w:hAnsi="Arial" w:cs="Arial"/>
          <w:kern w:val="2"/>
          <w:lang w:val="en-US"/>
        </w:rPr>
        <w:t>同比减少</w:t>
      </w:r>
      <w:r w:rsidR="00AB35A9" w:rsidRPr="00AB35A9">
        <w:rPr>
          <w:rFonts w:ascii="Arial" w:eastAsia="宋体" w:hAnsi="Arial" w:cs="Arial"/>
          <w:kern w:val="2"/>
          <w:lang w:val="en-US"/>
        </w:rPr>
        <w:t>0.34%</w:t>
      </w:r>
      <w:r w:rsidRPr="00CF4670">
        <w:rPr>
          <w:rFonts w:ascii="Arial" w:eastAsia="宋体" w:hAnsi="Arial" w:cs="Arial"/>
          <w:color w:val="000000"/>
          <w:kern w:val="2"/>
          <w:lang w:val="en-US"/>
        </w:rPr>
        <w:t>）；</w:t>
      </w:r>
    </w:p>
    <w:p w14:paraId="560FCE10" w14:textId="36465215" w:rsidR="00CF4670" w:rsidRPr="00CF4670" w:rsidRDefault="00CF4670">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color w:val="000000"/>
          <w:kern w:val="2"/>
          <w:lang w:val="en-US"/>
        </w:rPr>
      </w:pPr>
      <w:r w:rsidRPr="009432A2">
        <w:rPr>
          <w:rFonts w:ascii="Arial" w:eastAsia="宋体" w:hAnsi="Arial" w:cs="Arial"/>
          <w:color w:val="000000"/>
          <w:kern w:val="2"/>
          <w:lang w:val="en-US"/>
        </w:rPr>
        <w:t>ROAA</w:t>
      </w:r>
      <w:r w:rsidRPr="009432A2">
        <w:rPr>
          <w:rFonts w:ascii="Arial" w:eastAsia="宋体" w:hAnsi="Arial" w:cs="Arial" w:hint="eastAsia"/>
          <w:color w:val="000000"/>
          <w:kern w:val="2"/>
          <w:lang w:val="en-US"/>
        </w:rPr>
        <w:t>和</w:t>
      </w:r>
      <w:r w:rsidRPr="009432A2">
        <w:rPr>
          <w:rFonts w:ascii="Arial" w:eastAsia="宋体" w:hAnsi="Arial" w:cs="Arial"/>
          <w:color w:val="000000"/>
          <w:kern w:val="2"/>
          <w:lang w:val="en-US"/>
        </w:rPr>
        <w:t>ROAE</w:t>
      </w:r>
      <w:r w:rsidRPr="009432A2">
        <w:rPr>
          <w:rFonts w:ascii="Arial" w:eastAsia="宋体" w:hAnsi="Arial" w:cs="Arial" w:hint="eastAsia"/>
          <w:color w:val="000000"/>
          <w:kern w:val="2"/>
          <w:lang w:val="en-US"/>
        </w:rPr>
        <w:t>分别为</w:t>
      </w:r>
      <w:r w:rsidRPr="009432A2">
        <w:rPr>
          <w:rFonts w:ascii="Arial" w:eastAsia="宋体" w:hAnsi="Arial" w:cs="Arial"/>
          <w:color w:val="000000"/>
          <w:kern w:val="2"/>
          <w:lang w:val="en-US"/>
        </w:rPr>
        <w:t>1.45%</w:t>
      </w:r>
      <w:r w:rsidRPr="009432A2">
        <w:rPr>
          <w:rFonts w:ascii="Arial" w:eastAsia="宋体" w:hAnsi="Arial" w:cs="Arial" w:hint="eastAsia"/>
          <w:color w:val="000000"/>
          <w:kern w:val="2"/>
          <w:lang w:val="en-US"/>
        </w:rPr>
        <w:t>和</w:t>
      </w:r>
      <w:r w:rsidRPr="009432A2">
        <w:rPr>
          <w:rFonts w:ascii="Arial" w:eastAsia="宋体" w:hAnsi="Arial" w:cs="Arial"/>
          <w:color w:val="000000"/>
          <w:kern w:val="2"/>
          <w:lang w:val="en-US"/>
        </w:rPr>
        <w:t>17.55%</w:t>
      </w:r>
      <w:r w:rsidRPr="009432A2">
        <w:rPr>
          <w:rFonts w:ascii="Arial" w:eastAsia="宋体" w:hAnsi="Arial" w:cs="Arial" w:hint="eastAsia"/>
          <w:color w:val="000000"/>
          <w:kern w:val="2"/>
          <w:lang w:val="en-US"/>
        </w:rPr>
        <w:t>，同比分别降</w:t>
      </w:r>
      <w:r w:rsidRPr="009432A2">
        <w:rPr>
          <w:rFonts w:ascii="Arial" w:eastAsia="宋体" w:hAnsi="Arial" w:cs="Arial"/>
          <w:color w:val="000000"/>
          <w:kern w:val="2"/>
          <w:lang w:val="en-US"/>
        </w:rPr>
        <w:t>0.01</w:t>
      </w:r>
      <w:r w:rsidRPr="009432A2">
        <w:rPr>
          <w:rFonts w:ascii="Arial" w:eastAsia="宋体" w:hAnsi="Arial" w:cs="Arial" w:hint="eastAsia"/>
          <w:color w:val="000000"/>
          <w:kern w:val="2"/>
          <w:lang w:val="en-US"/>
        </w:rPr>
        <w:t>和</w:t>
      </w:r>
      <w:r w:rsidRPr="009432A2">
        <w:rPr>
          <w:rFonts w:ascii="Arial" w:eastAsia="宋体" w:hAnsi="Arial" w:cs="Arial"/>
          <w:color w:val="000000"/>
          <w:kern w:val="2"/>
          <w:lang w:val="en-US"/>
        </w:rPr>
        <w:t>0.52</w:t>
      </w:r>
      <w:r w:rsidRPr="009432A2">
        <w:rPr>
          <w:rFonts w:ascii="Arial" w:eastAsia="宋体" w:hAnsi="Arial" w:cs="Arial" w:hint="eastAsia"/>
          <w:color w:val="000000"/>
          <w:kern w:val="2"/>
          <w:lang w:val="en-US"/>
        </w:rPr>
        <w:t>个百分点</w:t>
      </w:r>
      <w:r w:rsidR="00AB35A9">
        <w:rPr>
          <w:rFonts w:ascii="Arial" w:eastAsia="宋体" w:hAnsi="Arial" w:cs="Arial" w:hint="eastAsia"/>
          <w:color w:val="000000"/>
          <w:kern w:val="2"/>
          <w:lang w:val="en-US"/>
        </w:rPr>
        <w:t>，维持高位</w:t>
      </w:r>
      <w:r w:rsidRPr="009432A2">
        <w:rPr>
          <w:rFonts w:ascii="Arial" w:eastAsia="宋体" w:hAnsi="Arial" w:cs="Arial" w:hint="eastAsia"/>
          <w:color w:val="000000"/>
          <w:kern w:val="2"/>
          <w:lang w:val="en-US"/>
        </w:rPr>
        <w:t>。</w:t>
      </w:r>
    </w:p>
    <w:p w14:paraId="44A727E3" w14:textId="63166965" w:rsidR="00CF4670" w:rsidRPr="00CF4670" w:rsidRDefault="00CF4670" w:rsidP="00CF4670">
      <w:pPr>
        <w:widowControl w:val="0"/>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b/>
          <w:color w:val="000000"/>
          <w:kern w:val="2"/>
          <w:lang w:val="en-US"/>
        </w:rPr>
      </w:pPr>
      <w:r w:rsidRPr="00CF4670">
        <w:rPr>
          <w:rFonts w:ascii="Arial" w:eastAsia="宋体" w:hAnsi="Arial" w:cs="Arial"/>
          <w:b/>
          <w:color w:val="000000"/>
          <w:kern w:val="2"/>
          <w:lang w:val="en-US"/>
        </w:rPr>
        <w:t>资产质量</w:t>
      </w:r>
      <w:r w:rsidRPr="00CF4670">
        <w:rPr>
          <w:rFonts w:ascii="Arial" w:eastAsia="宋体" w:hAnsi="Arial" w:cs="Arial" w:hint="eastAsia"/>
          <w:b/>
          <w:color w:val="000000"/>
          <w:kern w:val="2"/>
          <w:lang w:val="en-US"/>
        </w:rPr>
        <w:t>保持稳定，风险抵补能力强健</w:t>
      </w:r>
    </w:p>
    <w:p w14:paraId="5BB21943" w14:textId="782BBA40" w:rsidR="00CF4670" w:rsidRPr="00CF4670" w:rsidRDefault="00CF4670" w:rsidP="00CF4670">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color w:val="000000"/>
          <w:kern w:val="2"/>
          <w:lang w:val="en-US"/>
        </w:rPr>
      </w:pPr>
      <w:r w:rsidRPr="00CF4670">
        <w:rPr>
          <w:rFonts w:ascii="Arial" w:eastAsia="宋体" w:hAnsi="Arial" w:cs="Arial"/>
          <w:lang w:val="en-US"/>
        </w:rPr>
        <w:t>不良贷款率</w:t>
      </w:r>
      <w:r w:rsidRPr="00CF4670">
        <w:rPr>
          <w:rFonts w:ascii="Arial" w:eastAsia="宋体" w:hAnsi="Arial" w:cs="Arial"/>
          <w:lang w:val="en-US"/>
        </w:rPr>
        <w:t>0.95%</w:t>
      </w:r>
      <w:r w:rsidRPr="00CF4670">
        <w:rPr>
          <w:rFonts w:ascii="Arial" w:eastAsia="宋体" w:hAnsi="Arial" w:cs="Arial"/>
          <w:lang w:val="en-US"/>
        </w:rPr>
        <w:t>，较上年末下降</w:t>
      </w:r>
      <w:r w:rsidRPr="00CF4670">
        <w:rPr>
          <w:rFonts w:ascii="Arial" w:eastAsia="宋体" w:hAnsi="Arial" w:cs="Arial"/>
          <w:lang w:val="en-US"/>
        </w:rPr>
        <w:t>0.01</w:t>
      </w:r>
      <w:r w:rsidRPr="00CF4670">
        <w:rPr>
          <w:rFonts w:ascii="Arial" w:eastAsia="宋体" w:hAnsi="Arial" w:cs="Arial"/>
          <w:lang w:val="en-US"/>
        </w:rPr>
        <w:t>个百分点</w:t>
      </w:r>
      <w:r w:rsidRPr="00CF4670">
        <w:rPr>
          <w:rFonts w:ascii="Arial" w:eastAsia="宋体" w:hAnsi="Arial" w:cs="Arial" w:hint="eastAsia"/>
          <w:lang w:val="en-US"/>
        </w:rPr>
        <w:t>，保持在较低水平</w:t>
      </w:r>
      <w:r w:rsidRPr="00CF4670">
        <w:rPr>
          <w:rFonts w:ascii="Arial" w:eastAsia="宋体" w:hAnsi="Arial" w:cs="Arial"/>
          <w:lang w:val="en-US"/>
        </w:rPr>
        <w:t>；</w:t>
      </w:r>
    </w:p>
    <w:p w14:paraId="2A12307A" w14:textId="390ED0FA" w:rsidR="00CF4670" w:rsidRPr="009432A2" w:rsidRDefault="00CF4670" w:rsidP="00CF4670">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color w:val="000000"/>
          <w:kern w:val="2"/>
          <w:lang w:val="en-US"/>
        </w:rPr>
      </w:pPr>
      <w:r w:rsidRPr="00CF4670">
        <w:rPr>
          <w:rFonts w:ascii="Arial" w:eastAsia="宋体" w:hAnsi="Arial" w:cs="Arial"/>
          <w:lang w:val="en-US"/>
        </w:rPr>
        <w:t>拨备覆盖率</w:t>
      </w:r>
      <w:r w:rsidRPr="00CF4670">
        <w:rPr>
          <w:rFonts w:ascii="Arial" w:eastAsia="宋体" w:hAnsi="Arial" w:cs="Arial"/>
          <w:lang w:val="en-US"/>
        </w:rPr>
        <w:t>447.63%</w:t>
      </w:r>
      <w:r w:rsidRPr="00CF4670">
        <w:rPr>
          <w:rFonts w:ascii="Arial" w:eastAsia="宋体" w:hAnsi="Arial" w:cs="Arial"/>
          <w:lang w:val="en-US"/>
        </w:rPr>
        <w:t>，较上年末</w:t>
      </w:r>
      <w:r w:rsidRPr="00CF4670">
        <w:rPr>
          <w:rFonts w:ascii="Arial" w:eastAsia="宋体" w:hAnsi="Arial" w:cs="Arial" w:hint="eastAsia"/>
          <w:lang w:val="en-US"/>
        </w:rPr>
        <w:t>下降</w:t>
      </w:r>
      <w:r w:rsidRPr="00CF4670">
        <w:rPr>
          <w:rFonts w:ascii="Arial" w:eastAsia="宋体" w:hAnsi="Arial" w:cs="Arial"/>
          <w:lang w:val="en-US"/>
        </w:rPr>
        <w:t>3.16</w:t>
      </w:r>
      <w:r w:rsidRPr="00CF4670">
        <w:rPr>
          <w:rFonts w:ascii="Arial" w:eastAsia="宋体" w:hAnsi="Arial" w:cs="Arial"/>
          <w:lang w:val="en-US"/>
        </w:rPr>
        <w:t>个百分点</w:t>
      </w:r>
      <w:r w:rsidRPr="00CF4670">
        <w:rPr>
          <w:rFonts w:ascii="Arial" w:eastAsia="宋体" w:hAnsi="Arial" w:cs="Arial" w:hint="eastAsia"/>
          <w:lang w:val="en-US"/>
        </w:rPr>
        <w:t>；</w:t>
      </w:r>
      <w:r w:rsidR="00AB35A9" w:rsidRPr="00AB35A9">
        <w:rPr>
          <w:rFonts w:ascii="Arial" w:eastAsia="宋体" w:hAnsi="Arial" w:cs="Arial" w:hint="eastAsia"/>
          <w:lang w:val="en-US"/>
        </w:rPr>
        <w:t>贷款</w:t>
      </w:r>
      <w:proofErr w:type="gramStart"/>
      <w:r w:rsidR="00AB35A9" w:rsidRPr="00AB35A9">
        <w:rPr>
          <w:rFonts w:ascii="Arial" w:eastAsia="宋体" w:hAnsi="Arial" w:cs="Arial" w:hint="eastAsia"/>
          <w:lang w:val="en-US"/>
        </w:rPr>
        <w:t>拨备率</w:t>
      </w:r>
      <w:proofErr w:type="gramEnd"/>
      <w:r w:rsidR="00AB35A9" w:rsidRPr="00AB35A9">
        <w:rPr>
          <w:rFonts w:ascii="Arial" w:eastAsia="宋体" w:hAnsi="Arial" w:cs="Arial" w:hint="eastAsia"/>
          <w:lang w:val="en-US"/>
        </w:rPr>
        <w:t>4.27%</w:t>
      </w:r>
      <w:r w:rsidR="00AB35A9" w:rsidRPr="00AB35A9">
        <w:rPr>
          <w:rFonts w:ascii="Arial" w:eastAsia="宋体" w:hAnsi="Arial" w:cs="Arial" w:hint="eastAsia"/>
          <w:lang w:val="en-US"/>
        </w:rPr>
        <w:t>，较上年末下降</w:t>
      </w:r>
      <w:r w:rsidR="00AB35A9" w:rsidRPr="00AB35A9">
        <w:rPr>
          <w:rFonts w:ascii="Arial" w:eastAsia="宋体" w:hAnsi="Arial" w:cs="Arial" w:hint="eastAsia"/>
          <w:lang w:val="en-US"/>
        </w:rPr>
        <w:t>0.05</w:t>
      </w:r>
      <w:r w:rsidR="00AB35A9" w:rsidRPr="00AB35A9">
        <w:rPr>
          <w:rFonts w:ascii="Arial" w:eastAsia="宋体" w:hAnsi="Arial" w:cs="Arial" w:hint="eastAsia"/>
          <w:lang w:val="en-US"/>
        </w:rPr>
        <w:t>个百分点，仍保持高位。</w:t>
      </w:r>
    </w:p>
    <w:p w14:paraId="0644DF46" w14:textId="3468DFAF" w:rsidR="00AB35A9" w:rsidRPr="00AB35A9" w:rsidRDefault="00AB35A9" w:rsidP="00AB35A9">
      <w:pPr>
        <w:widowControl w:val="0"/>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b/>
          <w:color w:val="000000"/>
          <w:kern w:val="2"/>
          <w:lang w:val="en-US"/>
        </w:rPr>
      </w:pPr>
      <w:r w:rsidRPr="00AB35A9">
        <w:rPr>
          <w:rFonts w:ascii="Arial" w:eastAsia="宋体" w:hAnsi="Arial" w:cs="Arial"/>
          <w:b/>
          <w:color w:val="000000"/>
          <w:kern w:val="2"/>
          <w:lang w:val="en-US"/>
        </w:rPr>
        <w:t>资产组织扎实开展，负债优势继续保持</w:t>
      </w:r>
    </w:p>
    <w:p w14:paraId="426B28CF" w14:textId="0AA0942F" w:rsidR="00AB35A9" w:rsidRPr="00AB35A9" w:rsidRDefault="00AB35A9" w:rsidP="00AB35A9">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lang w:val="en-US"/>
        </w:rPr>
      </w:pPr>
      <w:r w:rsidRPr="00AB35A9">
        <w:rPr>
          <w:rFonts w:ascii="Arial" w:eastAsia="宋体" w:hAnsi="Arial" w:cs="Arial" w:hint="eastAsia"/>
          <w:lang w:val="en-US"/>
        </w:rPr>
        <w:t>资产总额</w:t>
      </w:r>
      <w:r w:rsidRPr="00AB35A9">
        <w:rPr>
          <w:rFonts w:ascii="Arial" w:eastAsia="宋体" w:hAnsi="Arial" w:cs="Arial" w:hint="eastAsia"/>
          <w:lang w:val="en-US"/>
        </w:rPr>
        <w:t>10.74</w:t>
      </w:r>
      <w:proofErr w:type="gramStart"/>
      <w:r w:rsidRPr="00AB35A9">
        <w:rPr>
          <w:rFonts w:ascii="Arial" w:eastAsia="宋体" w:hAnsi="Arial" w:cs="Arial" w:hint="eastAsia"/>
          <w:lang w:val="en-US"/>
        </w:rPr>
        <w:t>万亿</w:t>
      </w:r>
      <w:proofErr w:type="gramEnd"/>
      <w:r w:rsidRPr="00AB35A9">
        <w:rPr>
          <w:rFonts w:ascii="Arial" w:eastAsia="宋体" w:hAnsi="Arial" w:cs="Arial" w:hint="eastAsia"/>
          <w:lang w:val="en-US"/>
        </w:rPr>
        <w:t>元，较上年末增长</w:t>
      </w:r>
      <w:r w:rsidRPr="00AB35A9">
        <w:rPr>
          <w:rFonts w:ascii="Arial" w:eastAsia="宋体" w:hAnsi="Arial" w:cs="Arial" w:hint="eastAsia"/>
          <w:lang w:val="en-US"/>
        </w:rPr>
        <w:t>5.93%</w:t>
      </w:r>
      <w:r w:rsidRPr="00AB35A9">
        <w:rPr>
          <w:rFonts w:ascii="Arial" w:eastAsia="宋体" w:hAnsi="Arial" w:cs="Arial" w:hint="eastAsia"/>
          <w:lang w:val="en-US"/>
        </w:rPr>
        <w:t>；贷款和垫款总额</w:t>
      </w:r>
      <w:r w:rsidRPr="00AB35A9">
        <w:rPr>
          <w:rFonts w:ascii="Arial" w:eastAsia="宋体" w:hAnsi="Arial" w:cs="Arial" w:hint="eastAsia"/>
          <w:lang w:val="en-US"/>
        </w:rPr>
        <w:t>6.36</w:t>
      </w:r>
      <w:proofErr w:type="gramStart"/>
      <w:r w:rsidRPr="00AB35A9">
        <w:rPr>
          <w:rFonts w:ascii="Arial" w:eastAsia="宋体" w:hAnsi="Arial" w:cs="Arial" w:hint="eastAsia"/>
          <w:lang w:val="en-US"/>
        </w:rPr>
        <w:t>万亿</w:t>
      </w:r>
      <w:proofErr w:type="gramEnd"/>
      <w:r w:rsidRPr="00AB35A9">
        <w:rPr>
          <w:rFonts w:ascii="Arial" w:eastAsia="宋体" w:hAnsi="Arial" w:cs="Arial" w:hint="eastAsia"/>
          <w:lang w:val="en-US"/>
        </w:rPr>
        <w:t>元，</w:t>
      </w:r>
      <w:r w:rsidR="003E3084">
        <w:rPr>
          <w:rFonts w:ascii="Arial" w:eastAsia="宋体" w:hAnsi="Arial" w:cs="Arial" w:hint="eastAsia"/>
          <w:lang w:val="en-US"/>
        </w:rPr>
        <w:t>较上年末</w:t>
      </w:r>
      <w:r w:rsidRPr="00AB35A9">
        <w:rPr>
          <w:rFonts w:ascii="Arial" w:eastAsia="宋体" w:hAnsi="Arial" w:cs="Arial" w:hint="eastAsia"/>
          <w:lang w:val="en-US"/>
        </w:rPr>
        <w:t>增长</w:t>
      </w:r>
      <w:r w:rsidRPr="00AB35A9">
        <w:rPr>
          <w:rFonts w:ascii="Arial" w:eastAsia="宋体" w:hAnsi="Arial" w:cs="Arial" w:hint="eastAsia"/>
          <w:lang w:val="en-US"/>
        </w:rPr>
        <w:t>5.02%</w:t>
      </w:r>
      <w:r w:rsidRPr="00AB35A9">
        <w:rPr>
          <w:rFonts w:ascii="Arial" w:eastAsia="宋体" w:hAnsi="Arial" w:cs="Arial" w:hint="eastAsia"/>
          <w:lang w:val="en-US"/>
        </w:rPr>
        <w:t>；</w:t>
      </w:r>
      <w:r w:rsidRPr="00B04972">
        <w:rPr>
          <w:rFonts w:ascii="Arial" w:eastAsia="宋体" w:hAnsi="Arial" w:cs="Arial" w:hint="eastAsia"/>
          <w:lang w:val="en-US"/>
        </w:rPr>
        <w:t>债券投资</w:t>
      </w:r>
      <w:r w:rsidRPr="00AB35A9">
        <w:rPr>
          <w:rFonts w:ascii="Arial" w:eastAsia="宋体" w:hAnsi="Arial" w:cs="Arial" w:hint="eastAsia"/>
          <w:lang w:val="en-US"/>
        </w:rPr>
        <w:t>总额</w:t>
      </w:r>
      <w:r w:rsidRPr="00AB35A9">
        <w:rPr>
          <w:rFonts w:ascii="Arial" w:eastAsia="宋体" w:hAnsi="Arial" w:cs="Arial" w:hint="eastAsia"/>
          <w:lang w:val="en-US"/>
        </w:rPr>
        <w:t>2.67</w:t>
      </w:r>
      <w:proofErr w:type="gramStart"/>
      <w:r w:rsidRPr="00AB35A9">
        <w:rPr>
          <w:rFonts w:ascii="Arial" w:eastAsia="宋体" w:hAnsi="Arial" w:cs="Arial" w:hint="eastAsia"/>
          <w:lang w:val="en-US"/>
        </w:rPr>
        <w:t>万亿</w:t>
      </w:r>
      <w:proofErr w:type="gramEnd"/>
      <w:r w:rsidRPr="00AB35A9">
        <w:rPr>
          <w:rFonts w:ascii="Arial" w:eastAsia="宋体" w:hAnsi="Arial" w:cs="Arial" w:hint="eastAsia"/>
          <w:lang w:val="en-US"/>
        </w:rPr>
        <w:t>元，</w:t>
      </w:r>
      <w:r w:rsidR="003E3084">
        <w:rPr>
          <w:rFonts w:ascii="Arial" w:eastAsia="宋体" w:hAnsi="Arial" w:cs="Arial" w:hint="eastAsia"/>
          <w:lang w:val="en-US"/>
        </w:rPr>
        <w:t>较上年末</w:t>
      </w:r>
      <w:r w:rsidRPr="00AB35A9">
        <w:rPr>
          <w:rFonts w:ascii="Arial" w:eastAsia="宋体" w:hAnsi="Arial" w:cs="Arial" w:hint="eastAsia"/>
          <w:lang w:val="en-US"/>
        </w:rPr>
        <w:t>增长</w:t>
      </w:r>
      <w:r w:rsidRPr="00AB35A9">
        <w:rPr>
          <w:rFonts w:ascii="Arial" w:eastAsia="宋体" w:hAnsi="Arial" w:cs="Arial" w:hint="eastAsia"/>
          <w:lang w:val="en-US"/>
        </w:rPr>
        <w:t>9.62%</w:t>
      </w:r>
      <w:r w:rsidRPr="00AB35A9">
        <w:rPr>
          <w:rFonts w:ascii="Arial" w:eastAsia="宋体" w:hAnsi="Arial" w:cs="Arial" w:hint="eastAsia"/>
          <w:lang w:val="en-US"/>
        </w:rPr>
        <w:t>；</w:t>
      </w:r>
    </w:p>
    <w:p w14:paraId="17366EF5" w14:textId="31ACA39F" w:rsidR="00AB35A9" w:rsidRPr="00AB35A9" w:rsidRDefault="00AB35A9" w:rsidP="00AB35A9">
      <w:pPr>
        <w:widowControl w:val="0"/>
        <w:numPr>
          <w:ilvl w:val="0"/>
          <w:numId w:val="2"/>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lang w:val="en-US"/>
        </w:rPr>
      </w:pPr>
      <w:r w:rsidRPr="00AB35A9">
        <w:rPr>
          <w:rFonts w:ascii="Arial" w:eastAsia="宋体" w:hAnsi="Arial" w:cs="Arial" w:hint="eastAsia"/>
        </w:rPr>
        <w:t>负债总额</w:t>
      </w:r>
      <w:r w:rsidRPr="00AB35A9">
        <w:rPr>
          <w:rFonts w:ascii="Arial" w:eastAsia="宋体" w:hAnsi="Arial" w:cs="Arial" w:hint="eastAsia"/>
          <w:lang w:val="en-US"/>
        </w:rPr>
        <w:t>9.75</w:t>
      </w:r>
      <w:proofErr w:type="gramStart"/>
      <w:r w:rsidRPr="00AB35A9">
        <w:rPr>
          <w:rFonts w:ascii="Arial" w:eastAsia="宋体" w:hAnsi="Arial" w:cs="Arial" w:hint="eastAsia"/>
        </w:rPr>
        <w:t>万亿</w:t>
      </w:r>
      <w:proofErr w:type="gramEnd"/>
      <w:r w:rsidRPr="00AB35A9">
        <w:rPr>
          <w:rFonts w:ascii="Arial" w:eastAsia="宋体" w:hAnsi="Arial" w:cs="Arial" w:hint="eastAsia"/>
        </w:rPr>
        <w:t>元，较上年末增长</w:t>
      </w:r>
      <w:r w:rsidRPr="00AB35A9">
        <w:rPr>
          <w:rFonts w:ascii="Arial" w:eastAsia="宋体" w:hAnsi="Arial" w:cs="Arial" w:hint="eastAsia"/>
          <w:lang w:val="en-US"/>
        </w:rPr>
        <w:t>6.20%</w:t>
      </w:r>
      <w:r w:rsidRPr="00AB35A9">
        <w:rPr>
          <w:rFonts w:ascii="Arial" w:eastAsia="宋体" w:hAnsi="Arial" w:cs="Arial" w:hint="eastAsia"/>
        </w:rPr>
        <w:t>；客户存款总额</w:t>
      </w:r>
      <w:r w:rsidR="003E3084">
        <w:rPr>
          <w:rFonts w:ascii="Arial" w:eastAsia="宋体" w:hAnsi="Arial" w:cs="Arial" w:hint="eastAsia"/>
        </w:rPr>
        <w:t>8</w:t>
      </w:r>
      <w:r w:rsidR="003E3084">
        <w:rPr>
          <w:rFonts w:ascii="Arial" w:eastAsia="宋体" w:hAnsi="Arial" w:cs="Arial"/>
        </w:rPr>
        <w:t>.03</w:t>
      </w:r>
      <w:proofErr w:type="gramStart"/>
      <w:r w:rsidRPr="00AB35A9">
        <w:rPr>
          <w:rFonts w:ascii="Arial" w:eastAsia="宋体" w:hAnsi="Arial" w:cs="Arial" w:hint="eastAsia"/>
        </w:rPr>
        <w:t>万亿</w:t>
      </w:r>
      <w:proofErr w:type="gramEnd"/>
      <w:r w:rsidRPr="00AB35A9">
        <w:rPr>
          <w:rFonts w:ascii="Arial" w:eastAsia="宋体" w:hAnsi="Arial" w:cs="Arial" w:hint="eastAsia"/>
        </w:rPr>
        <w:t>元，</w:t>
      </w:r>
      <w:r w:rsidR="003E3084">
        <w:rPr>
          <w:rFonts w:ascii="Arial" w:eastAsia="宋体" w:hAnsi="Arial" w:cs="Arial" w:hint="eastAsia"/>
          <w:lang w:val="en-US"/>
        </w:rPr>
        <w:t>较上年末</w:t>
      </w:r>
      <w:r w:rsidRPr="00AB35A9">
        <w:rPr>
          <w:rFonts w:ascii="Arial" w:eastAsia="宋体" w:hAnsi="Arial" w:cs="Arial" w:hint="eastAsia"/>
        </w:rPr>
        <w:t>增长</w:t>
      </w:r>
      <w:r w:rsidRPr="00AB35A9">
        <w:rPr>
          <w:rFonts w:ascii="Arial" w:eastAsia="宋体" w:hAnsi="Arial" w:cs="Arial" w:hint="eastAsia"/>
          <w:lang w:val="en-US"/>
        </w:rPr>
        <w:t>6.56%</w:t>
      </w:r>
      <w:r>
        <w:rPr>
          <w:rFonts w:ascii="Arial" w:eastAsia="宋体" w:hAnsi="Arial" w:cs="Arial" w:hint="eastAsia"/>
          <w:lang w:val="en-US"/>
        </w:rPr>
        <w:t>；</w:t>
      </w:r>
      <w:r w:rsidRPr="00AB35A9">
        <w:rPr>
          <w:rFonts w:ascii="Arial" w:eastAsia="宋体" w:hAnsi="Arial" w:cs="Arial" w:hint="eastAsia"/>
          <w:lang w:val="en-US"/>
        </w:rPr>
        <w:t>核心存款日均余额</w:t>
      </w:r>
      <w:r w:rsidRPr="00AB35A9">
        <w:rPr>
          <w:rFonts w:ascii="Arial" w:eastAsia="宋体" w:hAnsi="Arial" w:cs="Arial" w:hint="eastAsia"/>
          <w:lang w:val="en-US"/>
        </w:rPr>
        <w:t>6.56</w:t>
      </w:r>
      <w:proofErr w:type="gramStart"/>
      <w:r w:rsidRPr="00AB35A9">
        <w:rPr>
          <w:rFonts w:ascii="Arial" w:eastAsia="宋体" w:hAnsi="Arial" w:cs="Arial" w:hint="eastAsia"/>
          <w:lang w:val="en-US"/>
        </w:rPr>
        <w:t>万亿</w:t>
      </w:r>
      <w:proofErr w:type="gramEnd"/>
      <w:r w:rsidRPr="00AB35A9">
        <w:rPr>
          <w:rFonts w:ascii="Arial" w:eastAsia="宋体" w:hAnsi="Arial" w:cs="Arial" w:hint="eastAsia"/>
          <w:lang w:val="en-US"/>
        </w:rPr>
        <w:t>元，</w:t>
      </w:r>
      <w:r w:rsidR="003E3084">
        <w:rPr>
          <w:rFonts w:ascii="Arial" w:eastAsia="宋体" w:hAnsi="Arial" w:cs="Arial" w:hint="eastAsia"/>
          <w:lang w:val="en-US"/>
        </w:rPr>
        <w:t>较上年末</w:t>
      </w:r>
      <w:r w:rsidRPr="00AB35A9">
        <w:rPr>
          <w:rFonts w:ascii="Arial" w:eastAsia="宋体" w:hAnsi="Arial" w:cs="Arial" w:hint="eastAsia"/>
          <w:lang w:val="en-US"/>
        </w:rPr>
        <w:t>增长</w:t>
      </w:r>
      <w:r w:rsidRPr="00AB35A9">
        <w:rPr>
          <w:rFonts w:ascii="Arial" w:eastAsia="宋体" w:hAnsi="Arial" w:cs="Arial" w:hint="eastAsia"/>
          <w:lang w:val="en-US"/>
        </w:rPr>
        <w:t>12</w:t>
      </w:r>
      <w:r w:rsidR="00B04972">
        <w:rPr>
          <w:rFonts w:ascii="Arial" w:eastAsia="宋体" w:hAnsi="Arial" w:cs="Arial" w:hint="eastAsia"/>
          <w:lang w:val="en-US"/>
        </w:rPr>
        <w:t>.</w:t>
      </w:r>
      <w:r w:rsidR="00B04972">
        <w:rPr>
          <w:rFonts w:ascii="Arial" w:eastAsia="宋体" w:hAnsi="Arial" w:cs="Arial"/>
          <w:lang w:val="en-US"/>
        </w:rPr>
        <w:t>00</w:t>
      </w:r>
      <w:r w:rsidRPr="00AB35A9">
        <w:rPr>
          <w:rFonts w:ascii="Arial" w:eastAsia="宋体" w:hAnsi="Arial" w:cs="Arial" w:hint="eastAsia"/>
          <w:lang w:val="en-US"/>
        </w:rPr>
        <w:t>%</w:t>
      </w:r>
      <w:r w:rsidRPr="00AB35A9">
        <w:rPr>
          <w:rFonts w:ascii="Arial" w:eastAsia="宋体" w:hAnsi="Arial" w:cs="Arial" w:hint="eastAsia"/>
          <w:lang w:val="en-US"/>
        </w:rPr>
        <w:t>。</w:t>
      </w:r>
    </w:p>
    <w:p w14:paraId="7C2F32EB" w14:textId="542C4C50" w:rsidR="00061E17" w:rsidRPr="00AB35A9" w:rsidRDefault="00AB35A9">
      <w:pPr>
        <w:widowControl w:val="0"/>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b/>
          <w:color w:val="000000"/>
          <w:kern w:val="2"/>
          <w:highlight w:val="yellow"/>
          <w:lang w:val="en-HK"/>
        </w:rPr>
      </w:pPr>
      <w:r w:rsidRPr="00AB35A9">
        <w:rPr>
          <w:rFonts w:ascii="Arial" w:eastAsia="宋体" w:hAnsi="Arial" w:cs="Arial"/>
          <w:b/>
          <w:lang w:val="en-US"/>
        </w:rPr>
        <w:t>业务结构持续优化，非</w:t>
      </w:r>
      <w:proofErr w:type="gramStart"/>
      <w:r w:rsidRPr="00AB35A9">
        <w:rPr>
          <w:rFonts w:ascii="Arial" w:eastAsia="宋体" w:hAnsi="Arial" w:cs="Arial"/>
          <w:b/>
          <w:lang w:val="en-US"/>
        </w:rPr>
        <w:t>息收入</w:t>
      </w:r>
      <w:proofErr w:type="gramEnd"/>
      <w:r w:rsidRPr="00AB35A9">
        <w:rPr>
          <w:rFonts w:ascii="Arial" w:eastAsia="宋体" w:hAnsi="Arial" w:cs="Arial"/>
          <w:b/>
          <w:lang w:val="en-US"/>
        </w:rPr>
        <w:t>保持韧性</w:t>
      </w:r>
    </w:p>
    <w:p w14:paraId="39C1500A" w14:textId="5BA4989A" w:rsidR="00061E17" w:rsidRPr="00967461" w:rsidRDefault="00AB35A9" w:rsidP="00967461">
      <w:pPr>
        <w:widowControl w:val="0"/>
        <w:numPr>
          <w:ilvl w:val="0"/>
          <w:numId w:val="3"/>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kern w:val="2"/>
          <w:lang w:val="en-US"/>
        </w:rPr>
      </w:pPr>
      <w:proofErr w:type="gramStart"/>
      <w:r w:rsidRPr="00967461">
        <w:rPr>
          <w:rFonts w:ascii="Arial" w:eastAsia="宋体" w:hAnsi="Arial" w:cs="Arial"/>
          <w:color w:val="000000"/>
          <w:lang w:val="en-US"/>
        </w:rPr>
        <w:t>零售金融</w:t>
      </w:r>
      <w:r w:rsidR="00361CE5" w:rsidRPr="00361CE5">
        <w:rPr>
          <w:rFonts w:ascii="Arial" w:eastAsia="宋体" w:hAnsi="Arial" w:cs="Arial" w:hint="eastAsia"/>
          <w:color w:val="000000"/>
          <w:lang w:val="en-US"/>
        </w:rPr>
        <w:t>零售金融</w:t>
      </w:r>
      <w:proofErr w:type="gramEnd"/>
      <w:r w:rsidR="00361CE5" w:rsidRPr="00361CE5">
        <w:rPr>
          <w:rFonts w:ascii="Arial" w:eastAsia="宋体" w:hAnsi="Arial" w:cs="Arial" w:hint="eastAsia"/>
          <w:color w:val="000000"/>
          <w:lang w:val="en-US"/>
        </w:rPr>
        <w:t>业务税前利润</w:t>
      </w:r>
      <w:r w:rsidR="00361CE5" w:rsidRPr="00361CE5">
        <w:rPr>
          <w:rFonts w:ascii="Arial" w:eastAsia="宋体" w:hAnsi="Arial" w:cs="Arial"/>
          <w:color w:val="000000"/>
          <w:lang w:val="en-US"/>
        </w:rPr>
        <w:t>517.80</w:t>
      </w:r>
      <w:r w:rsidR="00361CE5" w:rsidRPr="00361CE5">
        <w:rPr>
          <w:rFonts w:ascii="Arial" w:eastAsia="宋体" w:hAnsi="Arial" w:cs="Arial"/>
          <w:color w:val="000000"/>
          <w:lang w:val="en-US"/>
        </w:rPr>
        <w:t>亿元，同比增长</w:t>
      </w:r>
      <w:r w:rsidR="00361CE5" w:rsidRPr="00361CE5">
        <w:rPr>
          <w:rFonts w:ascii="Arial" w:eastAsia="宋体" w:hAnsi="Arial" w:cs="Arial"/>
          <w:color w:val="000000"/>
          <w:lang w:val="en-US"/>
        </w:rPr>
        <w:t>11.59%</w:t>
      </w:r>
      <w:r w:rsidR="00361CE5" w:rsidRPr="00361CE5">
        <w:rPr>
          <w:rFonts w:ascii="Arial" w:eastAsia="宋体" w:hAnsi="Arial" w:cs="Arial"/>
          <w:color w:val="000000"/>
          <w:lang w:val="en-US"/>
        </w:rPr>
        <w:t>，占本集团税前利润的</w:t>
      </w:r>
      <w:r w:rsidR="00361CE5" w:rsidRPr="00361CE5">
        <w:rPr>
          <w:rFonts w:ascii="Arial" w:eastAsia="宋体" w:hAnsi="Arial" w:cs="Arial"/>
          <w:color w:val="000000"/>
          <w:lang w:val="en-US"/>
        </w:rPr>
        <w:t>56.97%</w:t>
      </w:r>
      <w:r w:rsidR="00361CE5" w:rsidRPr="00361CE5">
        <w:rPr>
          <w:rFonts w:ascii="Arial" w:eastAsia="宋体" w:hAnsi="Arial" w:cs="Arial"/>
          <w:color w:val="000000"/>
          <w:lang w:val="en-US"/>
        </w:rPr>
        <w:t>，同比上升</w:t>
      </w:r>
      <w:r w:rsidR="00361CE5" w:rsidRPr="00361CE5">
        <w:rPr>
          <w:rFonts w:ascii="Arial" w:eastAsia="宋体" w:hAnsi="Arial" w:cs="Arial"/>
          <w:color w:val="000000"/>
          <w:lang w:val="en-US"/>
        </w:rPr>
        <w:t>1.48</w:t>
      </w:r>
      <w:r w:rsidR="00361CE5" w:rsidRPr="00361CE5">
        <w:rPr>
          <w:rFonts w:ascii="Arial" w:eastAsia="宋体" w:hAnsi="Arial" w:cs="Arial"/>
          <w:color w:val="000000"/>
          <w:lang w:val="en-US"/>
        </w:rPr>
        <w:t>个百分点；营业收入</w:t>
      </w:r>
      <w:r w:rsidR="00361CE5" w:rsidRPr="00361CE5">
        <w:rPr>
          <w:rFonts w:ascii="Arial" w:eastAsia="宋体" w:hAnsi="Arial" w:cs="Arial"/>
          <w:color w:val="000000"/>
          <w:lang w:val="en-US"/>
        </w:rPr>
        <w:t>989.61</w:t>
      </w:r>
      <w:r w:rsidR="00361CE5" w:rsidRPr="00361CE5">
        <w:rPr>
          <w:rFonts w:ascii="Arial" w:eastAsia="宋体" w:hAnsi="Arial" w:cs="Arial"/>
          <w:color w:val="000000"/>
          <w:lang w:val="en-US"/>
        </w:rPr>
        <w:t>亿元，同比增长</w:t>
      </w:r>
      <w:r w:rsidR="00361CE5" w:rsidRPr="00361CE5">
        <w:rPr>
          <w:rFonts w:ascii="Arial" w:eastAsia="宋体" w:hAnsi="Arial" w:cs="Arial"/>
          <w:color w:val="000000"/>
          <w:lang w:val="en-US"/>
        </w:rPr>
        <w:t>1.42%</w:t>
      </w:r>
      <w:r w:rsidR="00361CE5" w:rsidRPr="00361CE5">
        <w:rPr>
          <w:rFonts w:ascii="Arial" w:eastAsia="宋体" w:hAnsi="Arial" w:cs="Arial"/>
          <w:color w:val="000000"/>
          <w:lang w:val="en-US"/>
        </w:rPr>
        <w:t>，占本集团营业收入的</w:t>
      </w:r>
      <w:r w:rsidR="00361CE5" w:rsidRPr="00361CE5">
        <w:rPr>
          <w:rFonts w:ascii="Arial" w:eastAsia="宋体" w:hAnsi="Arial" w:cs="Arial"/>
          <w:color w:val="000000"/>
          <w:lang w:val="en-US"/>
        </w:rPr>
        <w:t>55.45%</w:t>
      </w:r>
      <w:r w:rsidR="00361CE5" w:rsidRPr="00361CE5">
        <w:rPr>
          <w:rFonts w:ascii="Arial" w:eastAsia="宋体" w:hAnsi="Arial" w:cs="Arial"/>
          <w:color w:val="000000"/>
          <w:lang w:val="en-US"/>
        </w:rPr>
        <w:t>，同比上升</w:t>
      </w:r>
      <w:r w:rsidR="00361CE5" w:rsidRPr="00361CE5">
        <w:rPr>
          <w:rFonts w:ascii="Arial" w:eastAsia="宋体" w:hAnsi="Arial" w:cs="Arial"/>
          <w:color w:val="000000"/>
          <w:lang w:val="en-US"/>
        </w:rPr>
        <w:t>0.97</w:t>
      </w:r>
      <w:r w:rsidR="00361CE5" w:rsidRPr="00361CE5">
        <w:rPr>
          <w:rFonts w:ascii="Arial" w:eastAsia="宋体" w:hAnsi="Arial" w:cs="Arial"/>
          <w:color w:val="000000"/>
          <w:lang w:val="en-US"/>
        </w:rPr>
        <w:t>个百分点</w:t>
      </w:r>
      <w:r w:rsidRPr="00967461">
        <w:rPr>
          <w:rFonts w:ascii="Arial" w:eastAsia="宋体" w:hAnsi="Arial" w:cs="Arial" w:hint="eastAsia"/>
          <w:kern w:val="2"/>
        </w:rPr>
        <w:t>；</w:t>
      </w:r>
    </w:p>
    <w:p w14:paraId="0618CE7A" w14:textId="637881AA" w:rsidR="00AB35A9" w:rsidRDefault="003E3084" w:rsidP="00AB35A9">
      <w:pPr>
        <w:widowControl w:val="0"/>
        <w:numPr>
          <w:ilvl w:val="0"/>
          <w:numId w:val="3"/>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kern w:val="2"/>
        </w:rPr>
      </w:pPr>
      <w:r w:rsidRPr="003E3084">
        <w:rPr>
          <w:rFonts w:ascii="Arial" w:eastAsia="宋体" w:hAnsi="Arial" w:cs="Arial" w:hint="eastAsia"/>
          <w:kern w:val="2"/>
        </w:rPr>
        <w:t>非利息净收入</w:t>
      </w:r>
      <w:r w:rsidRPr="003E3084">
        <w:rPr>
          <w:rFonts w:ascii="Arial" w:eastAsia="宋体" w:hAnsi="Arial" w:cs="Arial"/>
          <w:kern w:val="2"/>
        </w:rPr>
        <w:t>694.</w:t>
      </w:r>
      <w:r w:rsidR="00014316" w:rsidRPr="003E3084">
        <w:rPr>
          <w:rFonts w:ascii="Arial" w:eastAsia="宋体" w:hAnsi="Arial" w:cs="Arial"/>
          <w:kern w:val="2"/>
        </w:rPr>
        <w:t>6</w:t>
      </w:r>
      <w:r w:rsidR="00014316">
        <w:rPr>
          <w:rFonts w:ascii="Arial" w:eastAsia="宋体" w:hAnsi="Arial" w:cs="Arial"/>
          <w:kern w:val="2"/>
        </w:rPr>
        <w:t>4</w:t>
      </w:r>
      <w:r w:rsidR="00014316" w:rsidRPr="003E3084">
        <w:rPr>
          <w:rFonts w:ascii="Arial" w:eastAsia="宋体" w:hAnsi="Arial" w:cs="Arial"/>
          <w:kern w:val="2"/>
        </w:rPr>
        <w:t>亿</w:t>
      </w:r>
      <w:r w:rsidRPr="003E3084">
        <w:rPr>
          <w:rFonts w:ascii="Arial" w:eastAsia="宋体" w:hAnsi="Arial" w:cs="Arial"/>
          <w:kern w:val="2"/>
        </w:rPr>
        <w:t>元，占营业收入</w:t>
      </w:r>
      <w:r>
        <w:rPr>
          <w:rFonts w:ascii="Arial" w:eastAsia="宋体" w:hAnsi="Arial" w:cs="Arial" w:hint="eastAsia"/>
          <w:kern w:val="2"/>
        </w:rPr>
        <w:t>的</w:t>
      </w:r>
      <w:r w:rsidRPr="003E3084">
        <w:rPr>
          <w:rFonts w:ascii="Arial" w:eastAsia="宋体" w:hAnsi="Arial" w:cs="Arial"/>
          <w:kern w:val="2"/>
        </w:rPr>
        <w:t>38.</w:t>
      </w:r>
      <w:r w:rsidR="007440BB" w:rsidRPr="003E3084">
        <w:rPr>
          <w:rFonts w:ascii="Arial" w:eastAsia="宋体" w:hAnsi="Arial" w:cs="Arial"/>
          <w:kern w:val="2"/>
        </w:rPr>
        <w:t>9</w:t>
      </w:r>
      <w:r w:rsidR="007440BB">
        <w:rPr>
          <w:rFonts w:ascii="Arial" w:eastAsia="宋体" w:hAnsi="Arial" w:cs="Arial"/>
          <w:kern w:val="2"/>
        </w:rPr>
        <w:t>2</w:t>
      </w:r>
      <w:r w:rsidRPr="003E3084">
        <w:rPr>
          <w:rFonts w:ascii="Arial" w:eastAsia="宋体" w:hAnsi="Arial" w:cs="Arial"/>
          <w:kern w:val="2"/>
        </w:rPr>
        <w:t>%</w:t>
      </w:r>
      <w:r w:rsidR="007440BB">
        <w:rPr>
          <w:rFonts w:ascii="Arial" w:eastAsia="宋体" w:hAnsi="Arial" w:cs="Arial" w:hint="eastAsia"/>
          <w:kern w:val="2"/>
        </w:rPr>
        <w:t>（</w:t>
      </w:r>
      <w:r w:rsidR="007440BB">
        <w:rPr>
          <w:rFonts w:ascii="Arial" w:eastAsia="宋体" w:hAnsi="Arial" w:cs="Arial" w:hint="eastAsia"/>
          <w:kern w:val="2"/>
        </w:rPr>
        <w:t>H</w:t>
      </w:r>
      <w:r w:rsidR="007440BB">
        <w:rPr>
          <w:rFonts w:ascii="Arial" w:eastAsia="宋体" w:hAnsi="Arial" w:cs="Arial" w:hint="eastAsia"/>
          <w:kern w:val="2"/>
        </w:rPr>
        <w:t>股：</w:t>
      </w:r>
      <w:r w:rsidR="007440BB" w:rsidRPr="00090CE2">
        <w:rPr>
          <w:rFonts w:ascii="Arial" w:eastAsia="宋体" w:hAnsi="Arial" w:cs="Arial" w:hint="eastAsia"/>
          <w:bCs/>
          <w:sz w:val="23"/>
          <w:szCs w:val="23"/>
          <w:lang w:val="en-US"/>
        </w:rPr>
        <w:t>非利息净收入</w:t>
      </w:r>
      <w:r w:rsidR="007440BB" w:rsidRPr="00090CE2">
        <w:rPr>
          <w:rFonts w:ascii="Arial" w:eastAsia="宋体" w:hAnsi="Arial" w:cs="Arial"/>
          <w:bCs/>
          <w:sz w:val="23"/>
          <w:szCs w:val="23"/>
          <w:lang w:val="en-US"/>
        </w:rPr>
        <w:t>694.69</w:t>
      </w:r>
      <w:r w:rsidR="007440BB" w:rsidRPr="00090CE2">
        <w:rPr>
          <w:rFonts w:ascii="Arial" w:eastAsia="宋体" w:hAnsi="Arial" w:cs="Arial" w:hint="eastAsia"/>
          <w:bCs/>
          <w:sz w:val="23"/>
          <w:szCs w:val="23"/>
          <w:lang w:val="en-US"/>
        </w:rPr>
        <w:t>亿元</w:t>
      </w:r>
      <w:r w:rsidR="007440BB">
        <w:rPr>
          <w:rFonts w:ascii="Arial" w:eastAsia="宋体" w:hAnsi="Arial" w:cs="Arial" w:hint="eastAsia"/>
          <w:bCs/>
          <w:sz w:val="23"/>
          <w:szCs w:val="23"/>
          <w:lang w:val="en-US"/>
        </w:rPr>
        <w:t>，占营业净收入的</w:t>
      </w:r>
      <w:r w:rsidR="007440BB">
        <w:rPr>
          <w:rFonts w:ascii="Arial" w:eastAsia="宋体" w:hAnsi="Arial" w:cs="Arial" w:hint="eastAsia"/>
          <w:bCs/>
          <w:sz w:val="23"/>
          <w:szCs w:val="23"/>
          <w:lang w:val="en-US"/>
        </w:rPr>
        <w:t>3</w:t>
      </w:r>
      <w:r w:rsidR="007440BB">
        <w:rPr>
          <w:rFonts w:ascii="Arial" w:eastAsia="宋体" w:hAnsi="Arial" w:cs="Arial"/>
          <w:bCs/>
          <w:sz w:val="23"/>
          <w:szCs w:val="23"/>
          <w:lang w:val="en-US"/>
        </w:rPr>
        <w:t>8.93</w:t>
      </w:r>
      <w:r w:rsidR="007440BB">
        <w:rPr>
          <w:rFonts w:ascii="Arial" w:eastAsia="宋体" w:hAnsi="Arial" w:cs="Arial" w:hint="eastAsia"/>
          <w:bCs/>
          <w:sz w:val="23"/>
          <w:szCs w:val="23"/>
          <w:lang w:val="en-US"/>
        </w:rPr>
        <w:t>%</w:t>
      </w:r>
      <w:r w:rsidR="007440BB">
        <w:rPr>
          <w:rFonts w:ascii="Arial" w:eastAsia="宋体" w:hAnsi="Arial" w:cs="Arial" w:hint="eastAsia"/>
          <w:kern w:val="2"/>
        </w:rPr>
        <w:t>）</w:t>
      </w:r>
      <w:r w:rsidRPr="003E3084">
        <w:rPr>
          <w:rFonts w:ascii="Arial" w:eastAsia="宋体" w:hAnsi="Arial" w:cs="Arial"/>
          <w:kern w:val="2"/>
        </w:rPr>
        <w:t>，保持较高水平</w:t>
      </w:r>
      <w:r w:rsidR="00AB35A9" w:rsidRPr="00AB35A9">
        <w:rPr>
          <w:rFonts w:ascii="Arial" w:eastAsia="宋体" w:hAnsi="Arial" w:cs="Arial" w:hint="eastAsia"/>
          <w:kern w:val="2"/>
        </w:rPr>
        <w:t>。</w:t>
      </w:r>
    </w:p>
    <w:p w14:paraId="3F37122F" w14:textId="211353E4" w:rsidR="003E3084" w:rsidRPr="00AB35A9" w:rsidRDefault="003E3084" w:rsidP="00AB35A9">
      <w:pPr>
        <w:widowControl w:val="0"/>
        <w:numPr>
          <w:ilvl w:val="0"/>
          <w:numId w:val="3"/>
        </w:numPr>
        <w:pBdr>
          <w:top w:val="single" w:sz="4" w:space="1" w:color="auto"/>
          <w:left w:val="single" w:sz="4" w:space="4" w:color="auto"/>
          <w:bottom w:val="single" w:sz="4" w:space="1" w:color="auto"/>
          <w:right w:val="single" w:sz="4" w:space="13" w:color="auto"/>
        </w:pBdr>
        <w:spacing w:beforeLines="50" w:before="180" w:afterLines="50" w:after="180" w:line="240" w:lineRule="auto"/>
        <w:jc w:val="both"/>
        <w:rPr>
          <w:rFonts w:ascii="Arial" w:eastAsia="宋体" w:hAnsi="Arial" w:cs="Arial"/>
          <w:kern w:val="2"/>
        </w:rPr>
      </w:pPr>
      <w:r w:rsidRPr="003E3084">
        <w:rPr>
          <w:rFonts w:ascii="Arial" w:eastAsia="宋体" w:hAnsi="Arial" w:cs="Arial" w:hint="eastAsia"/>
          <w:kern w:val="2"/>
        </w:rPr>
        <w:t>大财富管理收入</w:t>
      </w:r>
      <w:r w:rsidRPr="003E3084">
        <w:rPr>
          <w:rFonts w:ascii="Arial" w:eastAsia="宋体" w:hAnsi="Arial" w:cs="Arial"/>
          <w:kern w:val="2"/>
        </w:rPr>
        <w:t>258.46</w:t>
      </w:r>
      <w:r w:rsidRPr="003E3084">
        <w:rPr>
          <w:rFonts w:ascii="Arial" w:eastAsia="宋体" w:hAnsi="Arial" w:cs="Arial"/>
          <w:kern w:val="2"/>
        </w:rPr>
        <w:t>亿元，占营业收入的</w:t>
      </w:r>
      <w:r w:rsidRPr="003E3084">
        <w:rPr>
          <w:rFonts w:ascii="Arial" w:eastAsia="宋体" w:hAnsi="Arial" w:cs="Arial"/>
          <w:kern w:val="2"/>
        </w:rPr>
        <w:t>14.48%</w:t>
      </w:r>
      <w:r w:rsidRPr="003E3084">
        <w:rPr>
          <w:rFonts w:ascii="Arial" w:eastAsia="宋体" w:hAnsi="Arial" w:cs="Arial"/>
          <w:kern w:val="2"/>
        </w:rPr>
        <w:t>，依然保持韧性。</w:t>
      </w:r>
    </w:p>
    <w:p w14:paraId="45DD15EA" w14:textId="5E390460" w:rsidR="00061E17" w:rsidRPr="00CF4670" w:rsidRDefault="007C101A">
      <w:pPr>
        <w:widowControl w:val="0"/>
        <w:spacing w:after="0" w:line="240" w:lineRule="auto"/>
        <w:jc w:val="both"/>
        <w:rPr>
          <w:rFonts w:ascii="Arial" w:eastAsia="宋体" w:hAnsi="Arial" w:cs="Arial"/>
          <w:i/>
          <w:kern w:val="2"/>
          <w:sz w:val="18"/>
          <w:szCs w:val="18"/>
          <w:lang w:val="en-US"/>
        </w:rPr>
      </w:pPr>
      <w:r w:rsidRPr="00CF4670">
        <w:rPr>
          <w:rFonts w:ascii="Arial" w:eastAsia="宋体" w:hAnsi="Arial" w:cs="Arial"/>
          <w:i/>
          <w:kern w:val="2"/>
          <w:sz w:val="18"/>
          <w:szCs w:val="18"/>
          <w:lang w:val="en-US"/>
        </w:rPr>
        <w:t>注</w:t>
      </w:r>
      <w:r w:rsidRPr="00CF4670">
        <w:rPr>
          <w:rFonts w:ascii="Arial" w:eastAsia="宋体" w:hAnsi="Arial" w:cs="Arial"/>
          <w:i/>
          <w:kern w:val="2"/>
          <w:sz w:val="18"/>
          <w:szCs w:val="18"/>
          <w:lang w:val="en-US"/>
        </w:rPr>
        <w:t>1</w:t>
      </w:r>
      <w:r w:rsidR="00CF4670" w:rsidRPr="00CF4670">
        <w:rPr>
          <w:rFonts w:ascii="Arial" w:eastAsia="宋体" w:hAnsi="Arial" w:cs="Arial"/>
          <w:i/>
          <w:kern w:val="2"/>
          <w:sz w:val="18"/>
          <w:szCs w:val="18"/>
          <w:lang w:val="en-US"/>
        </w:rPr>
        <w:t>：</w:t>
      </w:r>
      <w:r w:rsidRPr="00CF4670">
        <w:rPr>
          <w:rFonts w:ascii="Arial" w:eastAsia="宋体" w:hAnsi="Arial" w:cs="Arial"/>
          <w:i/>
          <w:kern w:val="2"/>
          <w:sz w:val="18"/>
          <w:szCs w:val="18"/>
          <w:lang w:val="en-US"/>
        </w:rPr>
        <w:t>除特别标示外，以上数据均为本集团口径数据，及以人民币为单位。</w:t>
      </w:r>
    </w:p>
    <w:p w14:paraId="4D9E9091" w14:textId="10594F60" w:rsidR="00061E17" w:rsidRPr="00CF4670" w:rsidRDefault="007C101A">
      <w:pPr>
        <w:widowControl w:val="0"/>
        <w:spacing w:after="0" w:line="240" w:lineRule="auto"/>
        <w:jc w:val="both"/>
        <w:rPr>
          <w:rFonts w:ascii="Arial" w:eastAsia="宋体" w:hAnsi="Arial" w:cs="Arial"/>
          <w:i/>
          <w:kern w:val="2"/>
          <w:sz w:val="18"/>
          <w:szCs w:val="18"/>
          <w:lang w:val="en-US"/>
        </w:rPr>
      </w:pPr>
      <w:r w:rsidRPr="00CF4670">
        <w:rPr>
          <w:rFonts w:ascii="Arial" w:eastAsia="宋体" w:hAnsi="Arial" w:cs="Arial"/>
          <w:i/>
          <w:kern w:val="2"/>
          <w:sz w:val="18"/>
          <w:szCs w:val="18"/>
          <w:lang w:val="en-US"/>
        </w:rPr>
        <w:t>注</w:t>
      </w:r>
      <w:r w:rsidRPr="00CF4670">
        <w:rPr>
          <w:rFonts w:ascii="Arial" w:eastAsia="宋体" w:hAnsi="Arial" w:cs="Arial"/>
          <w:i/>
          <w:kern w:val="2"/>
          <w:sz w:val="18"/>
          <w:szCs w:val="18"/>
          <w:lang w:val="en-US"/>
        </w:rPr>
        <w:t>2</w:t>
      </w:r>
      <w:r w:rsidR="00CF4670" w:rsidRPr="00CF4670">
        <w:rPr>
          <w:rFonts w:ascii="Arial" w:eastAsia="宋体" w:hAnsi="Arial" w:cs="Arial"/>
          <w:i/>
          <w:kern w:val="2"/>
          <w:sz w:val="18"/>
          <w:szCs w:val="18"/>
          <w:lang w:val="en-US"/>
        </w:rPr>
        <w:t>：</w:t>
      </w:r>
      <w:r w:rsidRPr="00CF4670">
        <w:rPr>
          <w:rFonts w:ascii="Arial" w:eastAsia="宋体" w:hAnsi="Arial" w:cs="Arial"/>
          <w:i/>
          <w:kern w:val="2"/>
          <w:sz w:val="18"/>
          <w:szCs w:val="18"/>
          <w:lang w:val="en-US"/>
        </w:rPr>
        <w:t>招商银行</w:t>
      </w:r>
      <w:r w:rsidRPr="00CF4670">
        <w:rPr>
          <w:rFonts w:ascii="Arial" w:eastAsia="宋体" w:hAnsi="Arial" w:cs="Arial"/>
          <w:i/>
          <w:kern w:val="2"/>
          <w:sz w:val="18"/>
          <w:szCs w:val="18"/>
          <w:lang w:val="en-US"/>
        </w:rPr>
        <w:t>A</w:t>
      </w:r>
      <w:r w:rsidRPr="00CF4670">
        <w:rPr>
          <w:rFonts w:ascii="Arial" w:eastAsia="宋体" w:hAnsi="Arial" w:cs="Arial"/>
          <w:i/>
          <w:kern w:val="2"/>
          <w:sz w:val="18"/>
          <w:szCs w:val="18"/>
          <w:lang w:val="en-US"/>
        </w:rPr>
        <w:t>股的</w:t>
      </w:r>
      <w:r w:rsidR="00CF4670" w:rsidRPr="00CF4670">
        <w:rPr>
          <w:rFonts w:ascii="Arial" w:eastAsia="宋体" w:hAnsi="Arial" w:cs="Arial"/>
          <w:i/>
          <w:kern w:val="2"/>
          <w:sz w:val="18"/>
          <w:szCs w:val="18"/>
          <w:lang w:val="en-US"/>
        </w:rPr>
        <w:t>2023</w:t>
      </w:r>
      <w:r w:rsidRPr="00CF4670">
        <w:rPr>
          <w:rFonts w:ascii="Arial" w:eastAsia="宋体" w:hAnsi="Arial" w:cs="Arial"/>
          <w:i/>
          <w:kern w:val="2"/>
          <w:sz w:val="18"/>
          <w:szCs w:val="18"/>
          <w:lang w:val="en-US"/>
        </w:rPr>
        <w:t>年中期财务报告是按中国会计准则编制，按国际财务报告准则编制的</w:t>
      </w:r>
      <w:r w:rsidRPr="00CF4670">
        <w:rPr>
          <w:rFonts w:ascii="Arial" w:eastAsia="宋体" w:hAnsi="Arial" w:cs="Arial"/>
          <w:i/>
          <w:kern w:val="2"/>
          <w:sz w:val="18"/>
          <w:szCs w:val="18"/>
          <w:lang w:val="en-US"/>
        </w:rPr>
        <w:t>H</w:t>
      </w:r>
      <w:r w:rsidRPr="00CF4670">
        <w:rPr>
          <w:rFonts w:ascii="Arial" w:eastAsia="宋体" w:hAnsi="Arial" w:cs="Arial"/>
          <w:i/>
          <w:kern w:val="2"/>
          <w:sz w:val="18"/>
          <w:szCs w:val="18"/>
          <w:lang w:val="en-US"/>
        </w:rPr>
        <w:t>股财务资料如果与</w:t>
      </w:r>
      <w:r w:rsidRPr="00CF4670">
        <w:rPr>
          <w:rFonts w:ascii="Arial" w:eastAsia="宋体" w:hAnsi="Arial" w:cs="Arial"/>
          <w:i/>
          <w:kern w:val="2"/>
          <w:sz w:val="18"/>
          <w:szCs w:val="18"/>
          <w:lang w:val="en-US"/>
        </w:rPr>
        <w:t>A</w:t>
      </w:r>
      <w:r w:rsidRPr="00CF4670">
        <w:rPr>
          <w:rFonts w:ascii="Arial" w:eastAsia="宋体" w:hAnsi="Arial" w:cs="Arial"/>
          <w:i/>
          <w:kern w:val="2"/>
          <w:sz w:val="18"/>
          <w:szCs w:val="18"/>
          <w:lang w:val="en-US"/>
        </w:rPr>
        <w:t>股财务数据不同，则另行标示。</w:t>
      </w:r>
    </w:p>
    <w:p w14:paraId="571CED5B" w14:textId="77777777" w:rsidR="00061E17" w:rsidRPr="00CF4670" w:rsidRDefault="00061E17">
      <w:pPr>
        <w:widowControl w:val="0"/>
        <w:spacing w:after="0" w:line="240" w:lineRule="auto"/>
        <w:jc w:val="both"/>
        <w:rPr>
          <w:rFonts w:ascii="Arial" w:eastAsia="宋体" w:hAnsi="Arial" w:cs="Arial"/>
          <w:kern w:val="2"/>
          <w:sz w:val="23"/>
          <w:szCs w:val="23"/>
          <w:lang w:val="en-US"/>
        </w:rPr>
      </w:pPr>
    </w:p>
    <w:p w14:paraId="0BCA9E5E" w14:textId="445745CF" w:rsidR="00061E17" w:rsidRPr="00CF4670" w:rsidRDefault="007C101A">
      <w:pPr>
        <w:widowControl w:val="0"/>
        <w:spacing w:after="0" w:line="240" w:lineRule="auto"/>
        <w:jc w:val="both"/>
        <w:rPr>
          <w:rFonts w:ascii="Arial" w:eastAsia="宋体" w:hAnsi="Arial" w:cs="Arial"/>
          <w:kern w:val="2"/>
          <w:sz w:val="23"/>
          <w:szCs w:val="23"/>
          <w:lang w:val="en-US"/>
        </w:rPr>
      </w:pPr>
      <w:r w:rsidRPr="00CF4670">
        <w:rPr>
          <w:rFonts w:ascii="Arial" w:eastAsia="宋体" w:hAnsi="Arial" w:cs="Arial"/>
          <w:color w:val="000000"/>
          <w:kern w:val="2"/>
          <w:sz w:val="23"/>
          <w:szCs w:val="23"/>
          <w:lang w:val="en-US"/>
        </w:rPr>
        <w:t>202</w:t>
      </w:r>
      <w:r w:rsidR="00CF4670" w:rsidRPr="00CF4670">
        <w:rPr>
          <w:rFonts w:ascii="Arial" w:eastAsia="宋体" w:hAnsi="Arial" w:cs="Arial"/>
          <w:color w:val="000000"/>
          <w:kern w:val="2"/>
          <w:sz w:val="23"/>
          <w:szCs w:val="23"/>
          <w:lang w:val="en-US"/>
        </w:rPr>
        <w:t>3</w:t>
      </w:r>
      <w:r w:rsidRPr="00CF4670">
        <w:rPr>
          <w:rFonts w:ascii="Arial" w:eastAsia="宋体" w:hAnsi="Arial" w:cs="Arial"/>
          <w:color w:val="000000"/>
          <w:kern w:val="2"/>
          <w:sz w:val="23"/>
          <w:szCs w:val="23"/>
          <w:lang w:val="en-US"/>
        </w:rPr>
        <w:t>年</w:t>
      </w:r>
      <w:r w:rsidRPr="00CF4670">
        <w:rPr>
          <w:rFonts w:ascii="Arial" w:eastAsia="宋体" w:hAnsi="Arial" w:cs="Arial"/>
          <w:color w:val="000000"/>
          <w:kern w:val="2"/>
          <w:sz w:val="23"/>
          <w:szCs w:val="23"/>
          <w:lang w:val="en-US"/>
        </w:rPr>
        <w:t>8</w:t>
      </w:r>
      <w:r w:rsidRPr="00CF4670">
        <w:rPr>
          <w:rFonts w:ascii="Arial" w:eastAsia="宋体" w:hAnsi="Arial" w:cs="Arial"/>
          <w:color w:val="000000"/>
          <w:kern w:val="2"/>
          <w:sz w:val="23"/>
          <w:szCs w:val="23"/>
          <w:lang w:val="en-US"/>
        </w:rPr>
        <w:t>月</w:t>
      </w:r>
      <w:r w:rsidR="00CF4670" w:rsidRPr="00CF4670">
        <w:rPr>
          <w:rFonts w:ascii="Arial" w:eastAsia="宋体" w:hAnsi="Arial" w:cs="Arial"/>
          <w:color w:val="000000"/>
          <w:kern w:val="2"/>
          <w:sz w:val="23"/>
          <w:szCs w:val="23"/>
          <w:lang w:val="en-US"/>
        </w:rPr>
        <w:t>2</w:t>
      </w:r>
      <w:r w:rsidR="00AB35A9">
        <w:rPr>
          <w:rFonts w:ascii="Arial" w:eastAsia="宋体" w:hAnsi="Arial" w:cs="Arial"/>
          <w:color w:val="000000"/>
          <w:kern w:val="2"/>
          <w:sz w:val="23"/>
          <w:szCs w:val="23"/>
          <w:lang w:val="en-US"/>
        </w:rPr>
        <w:t>5</w:t>
      </w:r>
      <w:r w:rsidRPr="00CF4670">
        <w:rPr>
          <w:rFonts w:ascii="Arial" w:eastAsia="宋体" w:hAnsi="Arial" w:cs="Arial"/>
          <w:color w:val="000000"/>
          <w:kern w:val="2"/>
          <w:sz w:val="23"/>
          <w:szCs w:val="23"/>
          <w:lang w:val="en-US"/>
        </w:rPr>
        <w:t>日</w:t>
      </w:r>
      <w:r w:rsidRPr="00CF4670">
        <w:rPr>
          <w:rFonts w:ascii="Arial" w:eastAsia="宋体" w:hAnsi="Arial" w:cs="Arial"/>
          <w:kern w:val="2"/>
          <w:sz w:val="23"/>
          <w:szCs w:val="23"/>
          <w:lang w:val="en-US"/>
        </w:rPr>
        <w:t xml:space="preserve"> ─ </w:t>
      </w:r>
      <w:r w:rsidRPr="00CF4670">
        <w:rPr>
          <w:rFonts w:ascii="Arial" w:eastAsia="宋体" w:hAnsi="Arial" w:cs="Arial"/>
          <w:kern w:val="2"/>
          <w:sz w:val="23"/>
          <w:szCs w:val="23"/>
          <w:lang w:val="en-US"/>
        </w:rPr>
        <w:t>招商银行</w:t>
      </w:r>
      <w:proofErr w:type="gramStart"/>
      <w:r w:rsidRPr="00CF4670">
        <w:rPr>
          <w:rFonts w:ascii="Arial" w:eastAsia="宋体" w:hAnsi="Arial" w:cs="Arial"/>
          <w:kern w:val="2"/>
          <w:sz w:val="23"/>
          <w:szCs w:val="23"/>
          <w:lang w:val="en-US"/>
        </w:rPr>
        <w:t>（</w:t>
      </w:r>
      <w:r w:rsidR="00EA22A2">
        <w:rPr>
          <w:rFonts w:ascii="Arial" w:eastAsia="宋体" w:hAnsi="Arial" w:cs="Arial" w:hint="eastAsia"/>
          <w:kern w:val="2"/>
          <w:sz w:val="23"/>
          <w:szCs w:val="23"/>
          <w:lang w:val="en-US"/>
        </w:rPr>
        <w:t>“</w:t>
      </w:r>
      <w:proofErr w:type="gramEnd"/>
      <w:r w:rsidR="00EA22A2" w:rsidRPr="00CF4670">
        <w:rPr>
          <w:rFonts w:ascii="Arial" w:eastAsia="宋体" w:hAnsi="Arial" w:cs="Arial"/>
          <w:kern w:val="2"/>
          <w:sz w:val="23"/>
          <w:szCs w:val="23"/>
          <w:lang w:val="en-US"/>
        </w:rPr>
        <w:t>招行</w:t>
      </w:r>
      <w:r w:rsidR="00EA22A2">
        <w:rPr>
          <w:rFonts w:ascii="Arial" w:eastAsia="宋体" w:hAnsi="Arial" w:cs="Arial" w:hint="eastAsia"/>
          <w:kern w:val="2"/>
          <w:sz w:val="23"/>
          <w:szCs w:val="23"/>
          <w:lang w:val="en-US"/>
        </w:rPr>
        <w:t>”</w:t>
      </w:r>
      <w:r w:rsidRPr="00CF4670">
        <w:rPr>
          <w:rFonts w:ascii="Arial" w:eastAsia="宋体" w:hAnsi="Arial" w:cs="Arial"/>
          <w:kern w:val="2"/>
          <w:sz w:val="23"/>
          <w:szCs w:val="23"/>
          <w:lang w:val="en-US"/>
        </w:rPr>
        <w:t>或</w:t>
      </w:r>
      <w:r w:rsidR="00EA22A2">
        <w:rPr>
          <w:rFonts w:ascii="Arial" w:eastAsia="宋体" w:hAnsi="Arial" w:cs="Arial" w:hint="eastAsia"/>
          <w:kern w:val="2"/>
          <w:sz w:val="23"/>
          <w:szCs w:val="23"/>
          <w:lang w:val="en-US"/>
        </w:rPr>
        <w:t>“</w:t>
      </w:r>
      <w:r w:rsidR="00EA22A2" w:rsidRPr="00CF4670">
        <w:rPr>
          <w:rFonts w:ascii="Arial" w:eastAsia="宋体" w:hAnsi="Arial" w:cs="Arial"/>
          <w:kern w:val="2"/>
          <w:sz w:val="23"/>
          <w:szCs w:val="23"/>
          <w:lang w:val="en-US"/>
        </w:rPr>
        <w:t>本公司</w:t>
      </w:r>
      <w:r w:rsidR="00EA22A2">
        <w:rPr>
          <w:rFonts w:ascii="Arial" w:eastAsia="宋体" w:hAnsi="Arial" w:cs="Arial" w:hint="eastAsia"/>
          <w:kern w:val="2"/>
          <w:sz w:val="23"/>
          <w:szCs w:val="23"/>
          <w:lang w:val="en-US"/>
        </w:rPr>
        <w:t>”</w:t>
      </w:r>
      <w:r w:rsidR="00CF4670" w:rsidRPr="00CF4670">
        <w:rPr>
          <w:rFonts w:ascii="Arial" w:eastAsia="宋体" w:hAnsi="Arial" w:cs="Arial"/>
          <w:kern w:val="2"/>
          <w:sz w:val="23"/>
          <w:szCs w:val="23"/>
          <w:lang w:val="en-US"/>
        </w:rPr>
        <w:t>；</w:t>
      </w:r>
      <w:r w:rsidRPr="00CF4670">
        <w:rPr>
          <w:rFonts w:ascii="Arial" w:eastAsia="宋体" w:hAnsi="Arial" w:cs="Arial"/>
          <w:kern w:val="2"/>
          <w:sz w:val="23"/>
          <w:szCs w:val="23"/>
          <w:lang w:val="en-US"/>
        </w:rPr>
        <w:t>上海</w:t>
      </w:r>
      <w:r w:rsidR="00CF4670" w:rsidRPr="00CF4670">
        <w:rPr>
          <w:rFonts w:ascii="Arial" w:eastAsia="宋体" w:hAnsi="Arial" w:cs="Arial"/>
          <w:kern w:val="2"/>
          <w:sz w:val="23"/>
          <w:szCs w:val="23"/>
          <w:lang w:val="en-US"/>
        </w:rPr>
        <w:t>：</w:t>
      </w:r>
      <w:r w:rsidRPr="00CF4670">
        <w:rPr>
          <w:rFonts w:ascii="Arial" w:eastAsia="宋体" w:hAnsi="Arial" w:cs="Arial"/>
          <w:kern w:val="2"/>
          <w:sz w:val="23"/>
          <w:szCs w:val="23"/>
          <w:lang w:val="en-US"/>
        </w:rPr>
        <w:t>600036</w:t>
      </w:r>
      <w:r w:rsidR="00CF4670" w:rsidRPr="00CF4670">
        <w:rPr>
          <w:rFonts w:ascii="Arial" w:eastAsia="宋体" w:hAnsi="Arial" w:cs="Arial"/>
          <w:kern w:val="2"/>
          <w:sz w:val="23"/>
          <w:szCs w:val="23"/>
          <w:lang w:val="en-US"/>
        </w:rPr>
        <w:t>；</w:t>
      </w:r>
      <w:r w:rsidRPr="00CF4670">
        <w:rPr>
          <w:rFonts w:ascii="Arial" w:eastAsia="宋体" w:hAnsi="Arial" w:cs="Arial"/>
          <w:kern w:val="2"/>
          <w:sz w:val="23"/>
          <w:szCs w:val="23"/>
          <w:lang w:val="en-US"/>
        </w:rPr>
        <w:t>香港</w:t>
      </w:r>
      <w:r w:rsidR="00CF4670" w:rsidRPr="00CF4670">
        <w:rPr>
          <w:rFonts w:ascii="Arial" w:eastAsia="宋体" w:hAnsi="Arial" w:cs="Arial"/>
          <w:kern w:val="2"/>
          <w:sz w:val="23"/>
          <w:szCs w:val="23"/>
          <w:lang w:val="en-US"/>
        </w:rPr>
        <w:t>：</w:t>
      </w:r>
      <w:r w:rsidRPr="00CF4670">
        <w:rPr>
          <w:rFonts w:ascii="Arial" w:eastAsia="宋体" w:hAnsi="Arial" w:cs="Arial"/>
          <w:kern w:val="2"/>
          <w:sz w:val="23"/>
          <w:szCs w:val="23"/>
          <w:lang w:val="en-US"/>
        </w:rPr>
        <w:t>3968</w:t>
      </w:r>
      <w:r w:rsidR="00CF4670" w:rsidRPr="00CF4670">
        <w:rPr>
          <w:rFonts w:ascii="Arial" w:eastAsia="宋体" w:hAnsi="Arial" w:cs="Arial"/>
          <w:kern w:val="2"/>
          <w:sz w:val="23"/>
          <w:szCs w:val="23"/>
          <w:lang w:val="en-US"/>
        </w:rPr>
        <w:t>；</w:t>
      </w:r>
      <w:r w:rsidRPr="00CF4670">
        <w:rPr>
          <w:rFonts w:ascii="Arial" w:eastAsia="宋体" w:hAnsi="Arial" w:cs="Arial"/>
          <w:kern w:val="2"/>
          <w:sz w:val="23"/>
          <w:szCs w:val="23"/>
          <w:lang w:val="en-US"/>
        </w:rPr>
        <w:t>连同其附属公司合称</w:t>
      </w:r>
      <w:r w:rsidR="00EA22A2">
        <w:rPr>
          <w:rFonts w:ascii="Arial" w:eastAsia="宋体" w:hAnsi="Arial" w:cs="Arial" w:hint="eastAsia"/>
          <w:kern w:val="2"/>
          <w:sz w:val="23"/>
          <w:szCs w:val="23"/>
          <w:lang w:val="en-US"/>
        </w:rPr>
        <w:t>“</w:t>
      </w:r>
      <w:r w:rsidR="00EA22A2" w:rsidRPr="00CF4670">
        <w:rPr>
          <w:rFonts w:ascii="Arial" w:eastAsia="宋体" w:hAnsi="Arial" w:cs="Arial"/>
          <w:kern w:val="2"/>
          <w:sz w:val="23"/>
          <w:szCs w:val="23"/>
          <w:lang w:val="en-US"/>
        </w:rPr>
        <w:t>本集团</w:t>
      </w:r>
      <w:r w:rsidR="00EA22A2">
        <w:rPr>
          <w:rFonts w:ascii="Arial" w:eastAsia="宋体" w:hAnsi="Arial" w:cs="Arial" w:hint="eastAsia"/>
          <w:kern w:val="2"/>
          <w:sz w:val="23"/>
          <w:szCs w:val="23"/>
          <w:lang w:val="en-US"/>
        </w:rPr>
        <w:t>”</w:t>
      </w:r>
      <w:r w:rsidRPr="00CF4670">
        <w:rPr>
          <w:rFonts w:ascii="Arial" w:eastAsia="宋体" w:hAnsi="Arial" w:cs="Arial"/>
          <w:kern w:val="2"/>
          <w:sz w:val="23"/>
          <w:szCs w:val="23"/>
          <w:lang w:val="en-US"/>
        </w:rPr>
        <w:t>），今天公布</w:t>
      </w:r>
      <w:r w:rsidRPr="00CF4670">
        <w:rPr>
          <w:rFonts w:ascii="Arial" w:eastAsia="宋体" w:hAnsi="Arial" w:cs="Arial"/>
          <w:kern w:val="2"/>
          <w:sz w:val="23"/>
          <w:szCs w:val="23"/>
          <w:lang w:val="en-US"/>
        </w:rPr>
        <w:t>202</w:t>
      </w:r>
      <w:r w:rsidR="00CF4670" w:rsidRPr="00CF4670">
        <w:rPr>
          <w:rFonts w:ascii="Arial" w:eastAsia="宋体" w:hAnsi="Arial" w:cs="Arial"/>
          <w:kern w:val="2"/>
          <w:sz w:val="23"/>
          <w:szCs w:val="23"/>
          <w:lang w:val="en-US"/>
        </w:rPr>
        <w:t>3</w:t>
      </w:r>
      <w:r w:rsidRPr="00CF4670">
        <w:rPr>
          <w:rFonts w:ascii="Arial" w:eastAsia="宋体" w:hAnsi="Arial" w:cs="Arial"/>
          <w:kern w:val="2"/>
          <w:sz w:val="23"/>
          <w:szCs w:val="23"/>
          <w:lang w:val="en-US"/>
        </w:rPr>
        <w:t>年中期业绩。</w:t>
      </w:r>
    </w:p>
    <w:p w14:paraId="772A3B9C" w14:textId="77777777" w:rsidR="00061E17" w:rsidRPr="00CF4670" w:rsidRDefault="00061E17">
      <w:pPr>
        <w:widowControl w:val="0"/>
        <w:spacing w:after="0" w:line="240" w:lineRule="auto"/>
        <w:jc w:val="both"/>
        <w:rPr>
          <w:rFonts w:ascii="Arial" w:eastAsia="宋体" w:hAnsi="Arial" w:cs="Arial"/>
          <w:kern w:val="2"/>
          <w:sz w:val="23"/>
          <w:szCs w:val="23"/>
          <w:lang w:val="en-US"/>
        </w:rPr>
      </w:pPr>
    </w:p>
    <w:p w14:paraId="2A3DCA1B" w14:textId="0F0FDB7D" w:rsidR="00061E17" w:rsidRPr="00CF4670" w:rsidRDefault="00CF4670">
      <w:pPr>
        <w:widowControl w:val="0"/>
        <w:spacing w:after="0" w:line="240" w:lineRule="auto"/>
        <w:jc w:val="both"/>
        <w:rPr>
          <w:rFonts w:ascii="Arial" w:eastAsia="宋体" w:hAnsi="Arial" w:cs="Arial"/>
          <w:kern w:val="2"/>
          <w:sz w:val="23"/>
          <w:szCs w:val="23"/>
          <w:lang w:val="en-US"/>
        </w:rPr>
      </w:pPr>
      <w:r w:rsidRPr="00CF4670">
        <w:rPr>
          <w:rFonts w:ascii="Arial" w:eastAsia="宋体" w:hAnsi="Arial" w:cs="Arial"/>
          <w:kern w:val="2"/>
          <w:sz w:val="23"/>
          <w:szCs w:val="23"/>
          <w:lang w:val="en-US"/>
        </w:rPr>
        <w:t>2023</w:t>
      </w:r>
      <w:r w:rsidR="007C101A" w:rsidRPr="00CF4670">
        <w:rPr>
          <w:rFonts w:ascii="Arial" w:eastAsia="宋体" w:hAnsi="Arial" w:cs="Arial"/>
          <w:kern w:val="2"/>
          <w:sz w:val="23"/>
          <w:szCs w:val="23"/>
          <w:lang w:val="en-US"/>
        </w:rPr>
        <w:t>年上半年，</w:t>
      </w:r>
      <w:proofErr w:type="gramStart"/>
      <w:r w:rsidRPr="00CF4670">
        <w:rPr>
          <w:rFonts w:ascii="Arial" w:eastAsia="宋体" w:hAnsi="Arial" w:cs="Arial"/>
          <w:kern w:val="2"/>
          <w:sz w:val="23"/>
          <w:szCs w:val="23"/>
          <w:lang w:val="en-US"/>
        </w:rPr>
        <w:t>本集团始终坚持</w:t>
      </w:r>
      <w:r w:rsidR="00EA22A2">
        <w:rPr>
          <w:rFonts w:ascii="Arial" w:eastAsia="宋体" w:hAnsi="Arial" w:cs="Arial" w:hint="eastAsia"/>
          <w:kern w:val="2"/>
          <w:sz w:val="23"/>
          <w:szCs w:val="23"/>
          <w:lang w:val="en-US"/>
        </w:rPr>
        <w:t>“</w:t>
      </w:r>
      <w:proofErr w:type="gramEnd"/>
      <w:r w:rsidRPr="00CF4670">
        <w:rPr>
          <w:rFonts w:ascii="Arial" w:eastAsia="宋体" w:hAnsi="Arial" w:cs="Arial"/>
          <w:kern w:val="2"/>
          <w:sz w:val="23"/>
          <w:szCs w:val="23"/>
          <w:lang w:val="en-US"/>
        </w:rPr>
        <w:t>质量、效益、规模</w:t>
      </w:r>
      <w:r w:rsidR="00EA22A2">
        <w:rPr>
          <w:rFonts w:ascii="Arial" w:eastAsia="宋体" w:hAnsi="Arial" w:cs="Arial" w:hint="eastAsia"/>
          <w:kern w:val="2"/>
          <w:sz w:val="23"/>
          <w:szCs w:val="23"/>
          <w:lang w:val="en-US"/>
        </w:rPr>
        <w:t>”</w:t>
      </w:r>
      <w:r w:rsidRPr="00CF4670">
        <w:rPr>
          <w:rFonts w:ascii="Arial" w:eastAsia="宋体" w:hAnsi="Arial" w:cs="Arial"/>
          <w:kern w:val="2"/>
          <w:sz w:val="23"/>
          <w:szCs w:val="23"/>
          <w:lang w:val="en-US"/>
        </w:rPr>
        <w:t>动态均衡发展理念，以打造价值银行为战略目标，各项业务稳健开展，资产负债规模和净利润稳步增长，资产质量总体稳定。</w:t>
      </w:r>
    </w:p>
    <w:p w14:paraId="1F7F4028" w14:textId="77777777" w:rsidR="00061E17" w:rsidRPr="00CF4670" w:rsidRDefault="007C101A">
      <w:pPr>
        <w:widowControl w:val="0"/>
        <w:spacing w:after="0" w:line="240" w:lineRule="auto"/>
        <w:jc w:val="both"/>
        <w:rPr>
          <w:rFonts w:ascii="Arial" w:eastAsia="宋体" w:hAnsi="Arial" w:cs="Arial"/>
          <w:kern w:val="2"/>
          <w:sz w:val="23"/>
          <w:szCs w:val="23"/>
          <w:lang w:val="en-US"/>
        </w:rPr>
      </w:pPr>
      <w:r w:rsidRPr="00CF4670">
        <w:rPr>
          <w:rFonts w:ascii="Arial" w:eastAsia="宋体" w:hAnsi="Arial" w:cs="Arial"/>
          <w:noProof/>
          <w:kern w:val="2"/>
          <w:sz w:val="23"/>
          <w:szCs w:val="23"/>
          <w:lang w:val="en-US"/>
        </w:rPr>
        <mc:AlternateContent>
          <mc:Choice Requires="wps">
            <w:drawing>
              <wp:anchor distT="0" distB="0" distL="114300" distR="114300" simplePos="0" relativeHeight="251659264" behindDoc="1" locked="0" layoutInCell="1" allowOverlap="1" wp14:anchorId="2DF9A378" wp14:editId="5D010CF5">
                <wp:simplePos x="0" y="0"/>
                <wp:positionH relativeFrom="column">
                  <wp:posOffset>-17780</wp:posOffset>
                </wp:positionH>
                <wp:positionV relativeFrom="paragraph">
                  <wp:posOffset>203835</wp:posOffset>
                </wp:positionV>
                <wp:extent cx="1807845" cy="304800"/>
                <wp:effectExtent l="0" t="0" r="2540" b="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699"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Rectangle: Rounded Corners 11" o:spid="_x0000_s1026" o:spt="2" style="position:absolute;left:0pt;margin-left:-1.4pt;margin-top:16.05pt;height:24pt;width:142.35pt;z-index:-251657216;mso-width-relative:page;mso-height-relative:page;" fillcolor="#FF0000" filled="t" stroked="f" coordsize="21600,21600" arcsize="0.166666666666667" o:gfxdata="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X2eq9YAAAAIAQAADwAAAAAAAAABACAAAAAiAAAAZHJzL2Rvd25y&#10;ZXYueG1sUEsBAhQAFAAAAAgAh07iQBWuLLlyAgAA4QQAAA4AAAAAAAAAAQAgAAAAJQEAAGRycy9l&#10;Mm9Eb2MueG1sUEsFBgAAAAAGAAYAWQEAAAkGAAAAAA==&#10;">
                <v:fill type="gradient" on="t" color2="#FFCCCC" angle="45" focus="100%" focussize="0,0"/>
                <v:stroke on="f"/>
                <v:imagedata o:title=""/>
                <o:lock v:ext="edit" aspectratio="f"/>
              </v:roundrect>
            </w:pict>
          </mc:Fallback>
        </mc:AlternateContent>
      </w:r>
    </w:p>
    <w:p w14:paraId="6FCD09E8" w14:textId="77777777" w:rsidR="00061E17" w:rsidRPr="00CF4670" w:rsidRDefault="007C101A">
      <w:pPr>
        <w:widowControl w:val="0"/>
        <w:numPr>
          <w:ilvl w:val="0"/>
          <w:numId w:val="4"/>
        </w:numPr>
        <w:spacing w:after="0" w:line="240" w:lineRule="auto"/>
        <w:jc w:val="both"/>
        <w:rPr>
          <w:rFonts w:ascii="Arial" w:eastAsia="宋体" w:hAnsi="Arial" w:cs="Arial"/>
          <w:b/>
          <w:bCs/>
          <w:kern w:val="2"/>
          <w:sz w:val="23"/>
          <w:szCs w:val="23"/>
          <w:lang w:val="en-US" w:eastAsia="zh-HK"/>
        </w:rPr>
      </w:pPr>
      <w:r w:rsidRPr="00CF4670">
        <w:rPr>
          <w:rFonts w:ascii="Arial" w:eastAsia="宋体" w:hAnsi="Arial" w:cs="Arial"/>
          <w:b/>
          <w:kern w:val="2"/>
          <w:sz w:val="23"/>
          <w:szCs w:val="23"/>
          <w:lang w:val="en-US"/>
        </w:rPr>
        <w:t>本集团总体经营情况</w:t>
      </w:r>
    </w:p>
    <w:p w14:paraId="2801FF25" w14:textId="77777777" w:rsidR="00061E17" w:rsidRPr="00CF4670" w:rsidRDefault="00061E17">
      <w:pPr>
        <w:widowControl w:val="0"/>
        <w:autoSpaceDE w:val="0"/>
        <w:autoSpaceDN w:val="0"/>
        <w:adjustRightInd w:val="0"/>
        <w:spacing w:after="0" w:line="240" w:lineRule="auto"/>
        <w:jc w:val="both"/>
        <w:rPr>
          <w:rFonts w:ascii="Arial" w:eastAsia="宋体" w:hAnsi="Arial" w:cs="Arial"/>
          <w:sz w:val="23"/>
          <w:szCs w:val="23"/>
          <w:lang w:val="en-US"/>
        </w:rPr>
      </w:pPr>
    </w:p>
    <w:p w14:paraId="6FA5FDA3" w14:textId="1F058044" w:rsidR="00061E17" w:rsidRPr="00CF4670" w:rsidRDefault="00CF4670">
      <w:pPr>
        <w:widowControl w:val="0"/>
        <w:autoSpaceDE w:val="0"/>
        <w:autoSpaceDN w:val="0"/>
        <w:adjustRightInd w:val="0"/>
        <w:spacing w:after="0" w:line="240" w:lineRule="auto"/>
        <w:jc w:val="both"/>
        <w:rPr>
          <w:rFonts w:ascii="Arial" w:eastAsia="宋体" w:hAnsi="Arial" w:cs="Arial"/>
          <w:bCs/>
          <w:sz w:val="23"/>
          <w:szCs w:val="23"/>
          <w:lang w:val="en-US"/>
        </w:rPr>
      </w:pPr>
      <w:r w:rsidRPr="00CF4670">
        <w:rPr>
          <w:rFonts w:ascii="Arial" w:eastAsia="宋体" w:hAnsi="Arial" w:cs="Arial"/>
          <w:bCs/>
          <w:sz w:val="23"/>
          <w:szCs w:val="23"/>
          <w:lang w:val="en-US"/>
        </w:rPr>
        <w:t>2023</w:t>
      </w:r>
      <w:r w:rsidR="007C101A" w:rsidRPr="00CF4670">
        <w:rPr>
          <w:rFonts w:ascii="Arial" w:eastAsia="宋体" w:hAnsi="Arial" w:cs="Arial"/>
          <w:bCs/>
          <w:sz w:val="23"/>
          <w:szCs w:val="23"/>
          <w:lang w:val="en-US"/>
        </w:rPr>
        <w:t>年上半年，</w:t>
      </w:r>
      <w:r w:rsidRPr="00CF4670">
        <w:rPr>
          <w:rFonts w:ascii="Arial" w:eastAsia="宋体" w:hAnsi="Arial" w:cs="Arial"/>
          <w:bCs/>
          <w:sz w:val="23"/>
          <w:szCs w:val="23"/>
          <w:lang w:val="en-US"/>
        </w:rPr>
        <w:t>本集团实现营业收入</w:t>
      </w:r>
      <w:r w:rsidRPr="00CF4670">
        <w:rPr>
          <w:rFonts w:ascii="Arial" w:eastAsia="宋体" w:hAnsi="Arial" w:cs="Arial"/>
          <w:bCs/>
          <w:sz w:val="23"/>
          <w:szCs w:val="23"/>
          <w:lang w:val="en-US"/>
        </w:rPr>
        <w:t>1,784.60</w:t>
      </w:r>
      <w:r w:rsidRPr="00CF4670">
        <w:rPr>
          <w:rFonts w:ascii="Arial" w:eastAsia="宋体" w:hAnsi="Arial" w:cs="Arial"/>
          <w:bCs/>
          <w:sz w:val="23"/>
          <w:szCs w:val="23"/>
          <w:lang w:val="en-US"/>
        </w:rPr>
        <w:t>亿元，同比减少</w:t>
      </w:r>
      <w:r w:rsidRPr="00CF4670">
        <w:rPr>
          <w:rFonts w:ascii="Arial" w:eastAsia="宋体" w:hAnsi="Arial" w:cs="Arial"/>
          <w:bCs/>
          <w:sz w:val="23"/>
          <w:szCs w:val="23"/>
          <w:lang w:val="en-US"/>
        </w:rPr>
        <w:t>0.35%</w:t>
      </w:r>
      <w:r w:rsidR="007C101A" w:rsidRPr="00CF4670">
        <w:rPr>
          <w:rFonts w:ascii="Arial" w:eastAsia="宋体" w:hAnsi="Arial" w:cs="Arial"/>
          <w:bCs/>
          <w:sz w:val="23"/>
          <w:szCs w:val="23"/>
          <w:lang w:val="en-US"/>
        </w:rPr>
        <w:t>（</w:t>
      </w:r>
      <w:r w:rsidR="007C101A" w:rsidRPr="00090CE2">
        <w:rPr>
          <w:rFonts w:ascii="Arial" w:eastAsia="宋体" w:hAnsi="Arial" w:cs="Arial"/>
          <w:bCs/>
          <w:sz w:val="23"/>
          <w:szCs w:val="23"/>
          <w:lang w:val="en-US"/>
        </w:rPr>
        <w:t>H</w:t>
      </w:r>
      <w:r w:rsidR="007C101A" w:rsidRPr="00090CE2">
        <w:rPr>
          <w:rFonts w:ascii="Arial" w:eastAsia="宋体" w:hAnsi="Arial" w:cs="Arial" w:hint="eastAsia"/>
          <w:bCs/>
          <w:sz w:val="23"/>
          <w:szCs w:val="23"/>
          <w:lang w:val="en-US"/>
        </w:rPr>
        <w:t>股</w:t>
      </w:r>
      <w:r w:rsidRPr="00090CE2">
        <w:rPr>
          <w:rFonts w:ascii="Arial" w:eastAsia="宋体" w:hAnsi="Arial" w:cs="Arial"/>
          <w:bCs/>
          <w:sz w:val="23"/>
          <w:szCs w:val="23"/>
          <w:lang w:val="en-US"/>
        </w:rPr>
        <w:t>：</w:t>
      </w:r>
      <w:r w:rsidR="007C101A" w:rsidRPr="00090CE2">
        <w:rPr>
          <w:rFonts w:ascii="Arial" w:eastAsia="宋体" w:hAnsi="Arial" w:cs="Arial" w:hint="eastAsia"/>
          <w:bCs/>
          <w:sz w:val="23"/>
          <w:szCs w:val="23"/>
          <w:lang w:val="en-US"/>
        </w:rPr>
        <w:t>营业净收入</w:t>
      </w:r>
      <w:r w:rsidR="00AB35A9" w:rsidRPr="00090CE2">
        <w:rPr>
          <w:rFonts w:ascii="Arial" w:eastAsia="宋体" w:hAnsi="Arial" w:cs="Arial"/>
          <w:bCs/>
          <w:sz w:val="23"/>
          <w:szCs w:val="23"/>
          <w:lang w:val="en-US"/>
        </w:rPr>
        <w:t>1,784.65</w:t>
      </w:r>
      <w:r w:rsidR="007C101A" w:rsidRPr="00090CE2">
        <w:rPr>
          <w:rFonts w:ascii="Arial" w:eastAsia="宋体" w:hAnsi="Arial" w:cs="Arial" w:hint="eastAsia"/>
          <w:bCs/>
          <w:sz w:val="23"/>
          <w:szCs w:val="23"/>
          <w:lang w:val="en-US"/>
        </w:rPr>
        <w:t>亿元，</w:t>
      </w:r>
      <w:r w:rsidR="00AB35A9" w:rsidRPr="00090CE2">
        <w:rPr>
          <w:rFonts w:ascii="Arial" w:eastAsia="宋体" w:hAnsi="Arial" w:cs="Arial"/>
          <w:bCs/>
          <w:sz w:val="23"/>
          <w:szCs w:val="23"/>
          <w:lang w:val="en-US"/>
        </w:rPr>
        <w:t>同比减少</w:t>
      </w:r>
      <w:r w:rsidR="00AB35A9" w:rsidRPr="00090CE2">
        <w:rPr>
          <w:rFonts w:ascii="Arial" w:eastAsia="宋体" w:hAnsi="Arial" w:cs="Arial"/>
          <w:bCs/>
          <w:sz w:val="23"/>
          <w:szCs w:val="23"/>
          <w:lang w:val="en-US"/>
        </w:rPr>
        <w:t>0.34%</w:t>
      </w:r>
      <w:r w:rsidR="007C101A" w:rsidRPr="00090CE2">
        <w:rPr>
          <w:rFonts w:ascii="Arial" w:eastAsia="宋体" w:hAnsi="Arial" w:cs="Arial"/>
          <w:bCs/>
          <w:sz w:val="23"/>
          <w:szCs w:val="23"/>
          <w:lang w:val="en-US"/>
        </w:rPr>
        <w:t>）</w:t>
      </w:r>
      <w:r w:rsidRPr="00090CE2">
        <w:rPr>
          <w:rFonts w:ascii="Arial" w:eastAsia="宋体" w:hAnsi="Arial" w:cs="Arial"/>
          <w:bCs/>
          <w:sz w:val="23"/>
          <w:szCs w:val="23"/>
          <w:lang w:val="en-US"/>
        </w:rPr>
        <w:t>；实现归属于本行股东的净利润</w:t>
      </w:r>
      <w:r w:rsidRPr="00090CE2">
        <w:rPr>
          <w:rFonts w:ascii="Arial" w:eastAsia="宋体" w:hAnsi="Arial" w:cs="Arial"/>
          <w:bCs/>
          <w:sz w:val="23"/>
          <w:szCs w:val="23"/>
          <w:lang w:val="en-US"/>
        </w:rPr>
        <w:t>757.52</w:t>
      </w:r>
      <w:r w:rsidRPr="00090CE2">
        <w:rPr>
          <w:rFonts w:ascii="Arial" w:eastAsia="宋体" w:hAnsi="Arial" w:cs="Arial"/>
          <w:bCs/>
          <w:sz w:val="23"/>
          <w:szCs w:val="23"/>
          <w:lang w:val="en-US"/>
        </w:rPr>
        <w:t>亿元，同比增长</w:t>
      </w:r>
      <w:r w:rsidRPr="00090CE2">
        <w:rPr>
          <w:rFonts w:ascii="Arial" w:eastAsia="宋体" w:hAnsi="Arial" w:cs="Arial"/>
          <w:bCs/>
          <w:sz w:val="23"/>
          <w:szCs w:val="23"/>
          <w:lang w:val="en-US"/>
        </w:rPr>
        <w:t>9.12%</w:t>
      </w:r>
      <w:r w:rsidRPr="00090CE2">
        <w:rPr>
          <w:rFonts w:ascii="Arial" w:eastAsia="宋体" w:hAnsi="Arial" w:cs="Arial"/>
          <w:bCs/>
          <w:sz w:val="23"/>
          <w:szCs w:val="23"/>
          <w:lang w:val="en-US"/>
        </w:rPr>
        <w:t>；实现净利息收入</w:t>
      </w:r>
      <w:r w:rsidRPr="00090CE2">
        <w:rPr>
          <w:rFonts w:ascii="Arial" w:eastAsia="宋体" w:hAnsi="Arial" w:cs="Arial"/>
          <w:bCs/>
          <w:sz w:val="23"/>
          <w:szCs w:val="23"/>
          <w:lang w:val="en-US"/>
        </w:rPr>
        <w:t>1,089.96</w:t>
      </w:r>
      <w:r w:rsidRPr="00090CE2">
        <w:rPr>
          <w:rFonts w:ascii="Arial" w:eastAsia="宋体" w:hAnsi="Arial" w:cs="Arial"/>
          <w:bCs/>
          <w:sz w:val="23"/>
          <w:szCs w:val="23"/>
          <w:lang w:val="en-US"/>
        </w:rPr>
        <w:t>亿元，同比增长</w:t>
      </w:r>
      <w:r w:rsidRPr="00090CE2">
        <w:rPr>
          <w:rFonts w:ascii="Arial" w:eastAsia="宋体" w:hAnsi="Arial" w:cs="Arial"/>
          <w:bCs/>
          <w:sz w:val="23"/>
          <w:szCs w:val="23"/>
          <w:lang w:val="en-US"/>
        </w:rPr>
        <w:t>1.21%</w:t>
      </w:r>
      <w:r w:rsidRPr="00090CE2">
        <w:rPr>
          <w:rFonts w:ascii="Arial" w:eastAsia="宋体" w:hAnsi="Arial" w:cs="Arial"/>
          <w:bCs/>
          <w:sz w:val="23"/>
          <w:szCs w:val="23"/>
          <w:lang w:val="en-US"/>
        </w:rPr>
        <w:t>；实现非利息净收入</w:t>
      </w:r>
      <w:bookmarkStart w:id="0" w:name="_Hlk143768253"/>
      <w:r w:rsidRPr="00090CE2">
        <w:rPr>
          <w:rFonts w:ascii="Arial" w:eastAsia="宋体" w:hAnsi="Arial" w:cs="Arial"/>
          <w:bCs/>
          <w:sz w:val="23"/>
          <w:szCs w:val="23"/>
          <w:lang w:val="en-US"/>
        </w:rPr>
        <w:t>694.64</w:t>
      </w:r>
      <w:bookmarkEnd w:id="0"/>
      <w:r w:rsidRPr="00090CE2">
        <w:rPr>
          <w:rFonts w:ascii="Arial" w:eastAsia="宋体" w:hAnsi="Arial" w:cs="Arial"/>
          <w:bCs/>
          <w:sz w:val="23"/>
          <w:szCs w:val="23"/>
          <w:lang w:val="en-US"/>
        </w:rPr>
        <w:t>亿元，同比减少</w:t>
      </w:r>
      <w:bookmarkStart w:id="1" w:name="_Hlk143768269"/>
      <w:r w:rsidRPr="00090CE2">
        <w:rPr>
          <w:rFonts w:ascii="Arial" w:eastAsia="宋体" w:hAnsi="Arial" w:cs="Arial"/>
          <w:bCs/>
          <w:sz w:val="23"/>
          <w:szCs w:val="23"/>
          <w:lang w:val="en-US"/>
        </w:rPr>
        <w:t>2.71%</w:t>
      </w:r>
      <w:bookmarkEnd w:id="1"/>
      <w:r w:rsidR="007C101A" w:rsidRPr="00090CE2">
        <w:rPr>
          <w:rFonts w:ascii="Arial" w:eastAsia="宋体" w:hAnsi="Arial" w:cs="Arial"/>
          <w:bCs/>
          <w:sz w:val="23"/>
          <w:szCs w:val="23"/>
          <w:lang w:val="en-US"/>
        </w:rPr>
        <w:t>（</w:t>
      </w:r>
      <w:r w:rsidR="007C101A" w:rsidRPr="00090CE2">
        <w:rPr>
          <w:rFonts w:ascii="Arial" w:eastAsia="宋体" w:hAnsi="Arial" w:cs="Arial"/>
          <w:bCs/>
          <w:sz w:val="23"/>
          <w:szCs w:val="23"/>
          <w:lang w:val="en-US"/>
        </w:rPr>
        <w:t>H</w:t>
      </w:r>
      <w:r w:rsidR="007C101A" w:rsidRPr="00090CE2">
        <w:rPr>
          <w:rFonts w:ascii="Arial" w:eastAsia="宋体" w:hAnsi="Arial" w:cs="Arial" w:hint="eastAsia"/>
          <w:bCs/>
          <w:sz w:val="23"/>
          <w:szCs w:val="23"/>
          <w:lang w:val="en-US"/>
        </w:rPr>
        <w:t>股</w:t>
      </w:r>
      <w:r w:rsidRPr="00090CE2">
        <w:rPr>
          <w:rFonts w:ascii="Arial" w:eastAsia="宋体" w:hAnsi="Arial" w:cs="Arial"/>
          <w:bCs/>
          <w:sz w:val="23"/>
          <w:szCs w:val="23"/>
          <w:lang w:val="en-US"/>
        </w:rPr>
        <w:t>：</w:t>
      </w:r>
      <w:r w:rsidR="007C101A" w:rsidRPr="00090CE2">
        <w:rPr>
          <w:rFonts w:ascii="Arial" w:eastAsia="宋体" w:hAnsi="Arial" w:cs="Arial" w:hint="eastAsia"/>
          <w:bCs/>
          <w:sz w:val="23"/>
          <w:szCs w:val="23"/>
          <w:lang w:val="en-US"/>
        </w:rPr>
        <w:t>非利息净收入</w:t>
      </w:r>
      <w:r w:rsidR="00AB35A9" w:rsidRPr="00090CE2">
        <w:rPr>
          <w:rFonts w:ascii="Arial" w:eastAsia="宋体" w:hAnsi="Arial" w:cs="Arial"/>
          <w:bCs/>
          <w:sz w:val="23"/>
          <w:szCs w:val="23"/>
          <w:lang w:val="en-US"/>
        </w:rPr>
        <w:t>694.69</w:t>
      </w:r>
      <w:r w:rsidR="007C101A" w:rsidRPr="00090CE2">
        <w:rPr>
          <w:rFonts w:ascii="Arial" w:eastAsia="宋体" w:hAnsi="Arial" w:cs="Arial" w:hint="eastAsia"/>
          <w:bCs/>
          <w:sz w:val="23"/>
          <w:szCs w:val="23"/>
          <w:lang w:val="en-US"/>
        </w:rPr>
        <w:t>亿元，</w:t>
      </w:r>
      <w:r w:rsidR="00AB35A9" w:rsidRPr="00AB35A9">
        <w:rPr>
          <w:rFonts w:ascii="Arial" w:eastAsia="宋体" w:hAnsi="Arial" w:cs="Arial"/>
          <w:bCs/>
          <w:sz w:val="23"/>
          <w:szCs w:val="23"/>
          <w:lang w:val="en-US"/>
        </w:rPr>
        <w:t>同比减少</w:t>
      </w:r>
      <w:r w:rsidR="00AB35A9" w:rsidRPr="00AB35A9">
        <w:rPr>
          <w:rFonts w:ascii="Arial" w:eastAsia="宋体" w:hAnsi="Arial" w:cs="Arial"/>
          <w:bCs/>
          <w:sz w:val="23"/>
          <w:szCs w:val="23"/>
          <w:lang w:val="en-US"/>
        </w:rPr>
        <w:t>2.68%</w:t>
      </w:r>
      <w:r w:rsidR="007C101A" w:rsidRPr="00CF4670">
        <w:rPr>
          <w:rFonts w:ascii="Arial" w:eastAsia="宋体" w:hAnsi="Arial" w:cs="Arial"/>
          <w:bCs/>
          <w:sz w:val="23"/>
          <w:szCs w:val="23"/>
          <w:lang w:val="en-US"/>
        </w:rPr>
        <w:t>）</w:t>
      </w:r>
      <w:r w:rsidRPr="00CF4670">
        <w:rPr>
          <w:rFonts w:ascii="Arial" w:eastAsia="宋体" w:hAnsi="Arial" w:cs="Arial"/>
          <w:bCs/>
          <w:sz w:val="23"/>
          <w:szCs w:val="23"/>
          <w:lang w:val="en-US"/>
        </w:rPr>
        <w:t>；</w:t>
      </w:r>
      <w:proofErr w:type="gramStart"/>
      <w:r w:rsidRPr="00CF4670">
        <w:rPr>
          <w:rFonts w:ascii="Arial" w:eastAsia="宋体" w:hAnsi="Arial" w:cs="Arial"/>
          <w:bCs/>
          <w:sz w:val="23"/>
          <w:szCs w:val="23"/>
          <w:lang w:val="en-US"/>
        </w:rPr>
        <w:t>年化后归属于本行股东的平均总资产收益率</w:t>
      </w:r>
      <w:r w:rsidRPr="00CF4670">
        <w:rPr>
          <w:rFonts w:ascii="Arial" w:eastAsia="宋体" w:hAnsi="Arial" w:cs="Arial"/>
          <w:bCs/>
          <w:sz w:val="23"/>
          <w:szCs w:val="23"/>
          <w:lang w:val="en-US"/>
        </w:rPr>
        <w:t>(</w:t>
      </w:r>
      <w:proofErr w:type="gramEnd"/>
      <w:r w:rsidRPr="00CF4670">
        <w:rPr>
          <w:rFonts w:ascii="Arial" w:eastAsia="宋体" w:hAnsi="Arial" w:cs="Arial"/>
          <w:bCs/>
          <w:sz w:val="23"/>
          <w:szCs w:val="23"/>
          <w:lang w:val="en-US"/>
        </w:rPr>
        <w:t>ROAA)</w:t>
      </w:r>
      <w:r w:rsidRPr="00CF4670">
        <w:rPr>
          <w:rFonts w:ascii="Arial" w:eastAsia="宋体" w:hAnsi="Arial" w:cs="Arial"/>
          <w:bCs/>
          <w:sz w:val="23"/>
          <w:szCs w:val="23"/>
          <w:lang w:val="en-US"/>
        </w:rPr>
        <w:t>和年化后归属于本行普通股股东的平均净资产收益率</w:t>
      </w:r>
      <w:r w:rsidRPr="00CF4670">
        <w:rPr>
          <w:rFonts w:ascii="Arial" w:eastAsia="宋体" w:hAnsi="Arial" w:cs="Arial"/>
          <w:bCs/>
          <w:sz w:val="23"/>
          <w:szCs w:val="23"/>
          <w:lang w:val="en-US"/>
        </w:rPr>
        <w:t>(ROAE)</w:t>
      </w:r>
      <w:r w:rsidRPr="00CF4670">
        <w:rPr>
          <w:rFonts w:ascii="Arial" w:eastAsia="宋体" w:hAnsi="Arial" w:cs="Arial"/>
          <w:bCs/>
          <w:sz w:val="23"/>
          <w:szCs w:val="23"/>
          <w:lang w:val="en-US"/>
        </w:rPr>
        <w:t>分别为</w:t>
      </w:r>
      <w:r w:rsidRPr="00CF4670">
        <w:rPr>
          <w:rFonts w:ascii="Arial" w:eastAsia="宋体" w:hAnsi="Arial" w:cs="Arial"/>
          <w:bCs/>
          <w:sz w:val="23"/>
          <w:szCs w:val="23"/>
          <w:lang w:val="en-US"/>
        </w:rPr>
        <w:t>1.45%</w:t>
      </w:r>
      <w:r w:rsidRPr="00CF4670">
        <w:rPr>
          <w:rFonts w:ascii="Arial" w:eastAsia="宋体" w:hAnsi="Arial" w:cs="Arial"/>
          <w:bCs/>
          <w:sz w:val="23"/>
          <w:szCs w:val="23"/>
          <w:lang w:val="en-US"/>
        </w:rPr>
        <w:t>和</w:t>
      </w:r>
      <w:r w:rsidRPr="00CF4670">
        <w:rPr>
          <w:rFonts w:ascii="Arial" w:eastAsia="宋体" w:hAnsi="Arial" w:cs="Arial"/>
          <w:bCs/>
          <w:sz w:val="23"/>
          <w:szCs w:val="23"/>
          <w:lang w:val="en-US"/>
        </w:rPr>
        <w:t>17.55%</w:t>
      </w:r>
      <w:r w:rsidRPr="00CF4670">
        <w:rPr>
          <w:rFonts w:ascii="Arial" w:eastAsia="宋体" w:hAnsi="Arial" w:cs="Arial"/>
          <w:bCs/>
          <w:sz w:val="23"/>
          <w:szCs w:val="23"/>
          <w:lang w:val="en-US"/>
        </w:rPr>
        <w:t>，同比分别下降</w:t>
      </w:r>
      <w:r w:rsidRPr="00CF4670">
        <w:rPr>
          <w:rFonts w:ascii="Arial" w:eastAsia="宋体" w:hAnsi="Arial" w:cs="Arial"/>
          <w:bCs/>
          <w:sz w:val="23"/>
          <w:szCs w:val="23"/>
          <w:lang w:val="en-US"/>
        </w:rPr>
        <w:t>0.01</w:t>
      </w:r>
      <w:r w:rsidRPr="00CF4670">
        <w:rPr>
          <w:rFonts w:ascii="Arial" w:eastAsia="宋体" w:hAnsi="Arial" w:cs="Arial"/>
          <w:bCs/>
          <w:sz w:val="23"/>
          <w:szCs w:val="23"/>
          <w:lang w:val="en-US"/>
        </w:rPr>
        <w:t>和</w:t>
      </w:r>
      <w:r w:rsidRPr="00CF4670">
        <w:rPr>
          <w:rFonts w:ascii="Arial" w:eastAsia="宋体" w:hAnsi="Arial" w:cs="Arial"/>
          <w:bCs/>
          <w:sz w:val="23"/>
          <w:szCs w:val="23"/>
          <w:lang w:val="en-US"/>
        </w:rPr>
        <w:t>0.52</w:t>
      </w:r>
      <w:r w:rsidRPr="00CF4670">
        <w:rPr>
          <w:rFonts w:ascii="Arial" w:eastAsia="宋体" w:hAnsi="Arial" w:cs="Arial"/>
          <w:bCs/>
          <w:sz w:val="23"/>
          <w:szCs w:val="23"/>
          <w:lang w:val="en-US"/>
        </w:rPr>
        <w:t>个百分点。</w:t>
      </w:r>
    </w:p>
    <w:p w14:paraId="4E005631" w14:textId="77777777" w:rsidR="00061E17" w:rsidRPr="00CF4670" w:rsidRDefault="00061E17">
      <w:pPr>
        <w:widowControl w:val="0"/>
        <w:autoSpaceDE w:val="0"/>
        <w:autoSpaceDN w:val="0"/>
        <w:adjustRightInd w:val="0"/>
        <w:spacing w:after="0" w:line="240" w:lineRule="auto"/>
        <w:jc w:val="both"/>
        <w:rPr>
          <w:rFonts w:ascii="Arial" w:eastAsia="宋体" w:hAnsi="Arial" w:cs="Arial"/>
          <w:bCs/>
          <w:sz w:val="23"/>
          <w:szCs w:val="23"/>
          <w:lang w:val="en-US"/>
        </w:rPr>
      </w:pPr>
    </w:p>
    <w:p w14:paraId="7DF778ED" w14:textId="1E7CB9A0" w:rsidR="00061E17" w:rsidRPr="00CF4670" w:rsidRDefault="00CF4670">
      <w:pPr>
        <w:widowControl w:val="0"/>
        <w:autoSpaceDE w:val="0"/>
        <w:autoSpaceDN w:val="0"/>
        <w:adjustRightInd w:val="0"/>
        <w:spacing w:after="0" w:line="240" w:lineRule="auto"/>
        <w:jc w:val="both"/>
        <w:rPr>
          <w:rFonts w:ascii="Arial" w:eastAsia="宋体" w:hAnsi="Arial" w:cs="Arial"/>
          <w:bCs/>
          <w:sz w:val="23"/>
          <w:szCs w:val="23"/>
          <w:lang w:val="en-US"/>
        </w:rPr>
      </w:pPr>
      <w:r w:rsidRPr="00CF4670">
        <w:rPr>
          <w:rFonts w:ascii="Arial" w:eastAsia="宋体" w:hAnsi="Arial" w:cs="Arial"/>
          <w:bCs/>
          <w:sz w:val="23"/>
          <w:szCs w:val="23"/>
          <w:lang w:val="en-US"/>
        </w:rPr>
        <w:t>截至报告期末，本集团资产总额</w:t>
      </w:r>
      <w:r w:rsidRPr="00CF4670">
        <w:rPr>
          <w:rFonts w:ascii="Arial" w:eastAsia="宋体" w:hAnsi="Arial" w:cs="Arial"/>
          <w:bCs/>
          <w:sz w:val="23"/>
          <w:szCs w:val="23"/>
          <w:lang w:val="en-US"/>
        </w:rPr>
        <w:t>107,398.36</w:t>
      </w:r>
      <w:r w:rsidRPr="00CF4670">
        <w:rPr>
          <w:rFonts w:ascii="Arial" w:eastAsia="宋体" w:hAnsi="Arial" w:cs="Arial"/>
          <w:bCs/>
          <w:sz w:val="23"/>
          <w:szCs w:val="23"/>
          <w:lang w:val="en-US"/>
        </w:rPr>
        <w:t>亿元，较上年末增长</w:t>
      </w:r>
      <w:r w:rsidRPr="00CF4670">
        <w:rPr>
          <w:rFonts w:ascii="Arial" w:eastAsia="宋体" w:hAnsi="Arial" w:cs="Arial"/>
          <w:bCs/>
          <w:sz w:val="23"/>
          <w:szCs w:val="23"/>
          <w:lang w:val="en-US"/>
        </w:rPr>
        <w:t>5.93%</w:t>
      </w:r>
      <w:r w:rsidRPr="00CF4670">
        <w:rPr>
          <w:rFonts w:ascii="Arial" w:eastAsia="宋体" w:hAnsi="Arial" w:cs="Arial"/>
          <w:bCs/>
          <w:sz w:val="23"/>
          <w:szCs w:val="23"/>
          <w:lang w:val="en-US"/>
        </w:rPr>
        <w:t>；贷款和垫款总额</w:t>
      </w:r>
      <w:r w:rsidRPr="00CF4670">
        <w:rPr>
          <w:rFonts w:ascii="Arial" w:eastAsia="宋体" w:hAnsi="Arial" w:cs="Arial"/>
          <w:bCs/>
          <w:sz w:val="23"/>
          <w:szCs w:val="23"/>
          <w:lang w:val="en-US"/>
        </w:rPr>
        <w:t>63,554.39</w:t>
      </w:r>
      <w:r w:rsidRPr="00CF4670">
        <w:rPr>
          <w:rFonts w:ascii="Arial" w:eastAsia="宋体" w:hAnsi="Arial" w:cs="Arial"/>
          <w:bCs/>
          <w:sz w:val="23"/>
          <w:szCs w:val="23"/>
          <w:lang w:val="en-US"/>
        </w:rPr>
        <w:t>亿元，较上年末增长</w:t>
      </w:r>
      <w:r w:rsidRPr="00CF4670">
        <w:rPr>
          <w:rFonts w:ascii="Arial" w:eastAsia="宋体" w:hAnsi="Arial" w:cs="Arial"/>
          <w:bCs/>
          <w:sz w:val="23"/>
          <w:szCs w:val="23"/>
          <w:lang w:val="en-US"/>
        </w:rPr>
        <w:t>5.02%</w:t>
      </w:r>
      <w:r w:rsidRPr="00CF4670">
        <w:rPr>
          <w:rFonts w:ascii="Arial" w:eastAsia="宋体" w:hAnsi="Arial" w:cs="Arial"/>
          <w:bCs/>
          <w:sz w:val="23"/>
          <w:szCs w:val="23"/>
          <w:lang w:val="en-US"/>
        </w:rPr>
        <w:t>；负债总额</w:t>
      </w:r>
      <w:r w:rsidRPr="00CF4670">
        <w:rPr>
          <w:rFonts w:ascii="Arial" w:eastAsia="宋体" w:hAnsi="Arial" w:cs="Arial"/>
          <w:bCs/>
          <w:sz w:val="23"/>
          <w:szCs w:val="23"/>
          <w:lang w:val="en-US"/>
        </w:rPr>
        <w:t>97,539.23</w:t>
      </w:r>
      <w:r w:rsidRPr="00CF4670">
        <w:rPr>
          <w:rFonts w:ascii="Arial" w:eastAsia="宋体" w:hAnsi="Arial" w:cs="Arial"/>
          <w:bCs/>
          <w:sz w:val="23"/>
          <w:szCs w:val="23"/>
          <w:lang w:val="en-US"/>
        </w:rPr>
        <w:t>亿元，较上年末增长</w:t>
      </w:r>
      <w:r w:rsidRPr="00CF4670">
        <w:rPr>
          <w:rFonts w:ascii="Arial" w:eastAsia="宋体" w:hAnsi="Arial" w:cs="Arial"/>
          <w:bCs/>
          <w:sz w:val="23"/>
          <w:szCs w:val="23"/>
          <w:lang w:val="en-US"/>
        </w:rPr>
        <w:t>6.20%</w:t>
      </w:r>
      <w:r w:rsidRPr="00CF4670">
        <w:rPr>
          <w:rFonts w:ascii="Arial" w:eastAsia="宋体" w:hAnsi="Arial" w:cs="Arial"/>
          <w:bCs/>
          <w:sz w:val="23"/>
          <w:szCs w:val="23"/>
          <w:lang w:val="en-US"/>
        </w:rPr>
        <w:t>；客户存款总额</w:t>
      </w:r>
      <w:r w:rsidRPr="00CF4670">
        <w:rPr>
          <w:rFonts w:ascii="Arial" w:eastAsia="宋体" w:hAnsi="Arial" w:cs="Arial"/>
          <w:bCs/>
          <w:sz w:val="23"/>
          <w:szCs w:val="23"/>
          <w:lang w:val="en-US"/>
        </w:rPr>
        <w:t>80,302.32</w:t>
      </w:r>
      <w:r w:rsidRPr="00CF4670">
        <w:rPr>
          <w:rFonts w:ascii="Arial" w:eastAsia="宋体" w:hAnsi="Arial" w:cs="Arial"/>
          <w:bCs/>
          <w:sz w:val="23"/>
          <w:szCs w:val="23"/>
          <w:lang w:val="en-US"/>
        </w:rPr>
        <w:t>亿元，较上年末增长</w:t>
      </w:r>
      <w:r w:rsidRPr="00CF4670">
        <w:rPr>
          <w:rFonts w:ascii="Arial" w:eastAsia="宋体" w:hAnsi="Arial" w:cs="Arial"/>
          <w:bCs/>
          <w:sz w:val="23"/>
          <w:szCs w:val="23"/>
          <w:lang w:val="en-US"/>
        </w:rPr>
        <w:t>6.56%</w:t>
      </w:r>
      <w:r w:rsidRPr="00CF4670">
        <w:rPr>
          <w:rFonts w:ascii="Arial" w:eastAsia="宋体" w:hAnsi="Arial" w:cs="Arial"/>
          <w:bCs/>
          <w:sz w:val="23"/>
          <w:szCs w:val="23"/>
          <w:lang w:val="en-US"/>
        </w:rPr>
        <w:t>。</w:t>
      </w:r>
      <w:r w:rsidR="00851555" w:rsidRPr="00851555">
        <w:rPr>
          <w:rFonts w:ascii="Arial" w:eastAsia="宋体" w:hAnsi="Arial" w:cs="Arial" w:hint="eastAsia"/>
          <w:bCs/>
          <w:sz w:val="23"/>
          <w:szCs w:val="23"/>
          <w:lang w:val="en-US"/>
        </w:rPr>
        <w:t>本集团高级法</w:t>
      </w:r>
      <w:proofErr w:type="gramStart"/>
      <w:r w:rsidR="00851555" w:rsidRPr="00851555">
        <w:rPr>
          <w:rFonts w:ascii="Arial" w:eastAsia="宋体" w:hAnsi="Arial" w:cs="Arial" w:hint="eastAsia"/>
          <w:bCs/>
          <w:sz w:val="23"/>
          <w:szCs w:val="23"/>
          <w:lang w:val="en-US"/>
        </w:rPr>
        <w:t>下核心</w:t>
      </w:r>
      <w:proofErr w:type="gramEnd"/>
      <w:r w:rsidR="00851555" w:rsidRPr="00851555">
        <w:rPr>
          <w:rFonts w:ascii="Arial" w:eastAsia="宋体" w:hAnsi="Arial" w:cs="Arial" w:hint="eastAsia"/>
          <w:bCs/>
          <w:sz w:val="23"/>
          <w:szCs w:val="23"/>
          <w:lang w:val="en-US"/>
        </w:rPr>
        <w:t>一级资本充足率、一级资本充足率和资本充足率分别为</w:t>
      </w:r>
      <w:r w:rsidR="00851555" w:rsidRPr="00851555">
        <w:rPr>
          <w:rFonts w:ascii="Arial" w:eastAsia="宋体" w:hAnsi="Arial" w:cs="Arial"/>
          <w:bCs/>
          <w:sz w:val="23"/>
          <w:szCs w:val="23"/>
          <w:lang w:val="en-US"/>
        </w:rPr>
        <w:t>13.09%</w:t>
      </w:r>
      <w:r w:rsidR="00851555" w:rsidRPr="00851555">
        <w:rPr>
          <w:rFonts w:ascii="Arial" w:eastAsia="宋体" w:hAnsi="Arial" w:cs="Arial"/>
          <w:bCs/>
          <w:sz w:val="23"/>
          <w:szCs w:val="23"/>
          <w:lang w:val="en-US"/>
        </w:rPr>
        <w:t>、</w:t>
      </w:r>
      <w:r w:rsidR="00851555" w:rsidRPr="00851555">
        <w:rPr>
          <w:rFonts w:ascii="Arial" w:eastAsia="宋体" w:hAnsi="Arial" w:cs="Arial"/>
          <w:bCs/>
          <w:sz w:val="23"/>
          <w:szCs w:val="23"/>
          <w:lang w:val="en-US"/>
        </w:rPr>
        <w:t>14.99%</w:t>
      </w:r>
      <w:r w:rsidR="00851555" w:rsidRPr="00851555">
        <w:rPr>
          <w:rFonts w:ascii="Arial" w:eastAsia="宋体" w:hAnsi="Arial" w:cs="Arial"/>
          <w:bCs/>
          <w:sz w:val="23"/>
          <w:szCs w:val="23"/>
          <w:lang w:val="en-US"/>
        </w:rPr>
        <w:t>和</w:t>
      </w:r>
      <w:r w:rsidR="00851555" w:rsidRPr="00851555">
        <w:rPr>
          <w:rFonts w:ascii="Arial" w:eastAsia="宋体" w:hAnsi="Arial" w:cs="Arial"/>
          <w:bCs/>
          <w:sz w:val="23"/>
          <w:szCs w:val="23"/>
          <w:lang w:val="en-US"/>
        </w:rPr>
        <w:t>17.09%</w:t>
      </w:r>
      <w:r w:rsidR="00851555" w:rsidRPr="00851555">
        <w:rPr>
          <w:rFonts w:ascii="Arial" w:eastAsia="宋体" w:hAnsi="Arial" w:cs="Arial"/>
          <w:bCs/>
          <w:sz w:val="23"/>
          <w:szCs w:val="23"/>
          <w:lang w:val="en-US"/>
        </w:rPr>
        <w:t>，较上年末分别下降</w:t>
      </w:r>
      <w:r w:rsidR="00851555" w:rsidRPr="00851555">
        <w:rPr>
          <w:rFonts w:ascii="Arial" w:eastAsia="宋体" w:hAnsi="Arial" w:cs="Arial"/>
          <w:bCs/>
          <w:sz w:val="23"/>
          <w:szCs w:val="23"/>
          <w:lang w:val="en-US"/>
        </w:rPr>
        <w:t>0.59</w:t>
      </w:r>
      <w:r w:rsidR="00851555" w:rsidRPr="00851555">
        <w:rPr>
          <w:rFonts w:ascii="Arial" w:eastAsia="宋体" w:hAnsi="Arial" w:cs="Arial"/>
          <w:bCs/>
          <w:sz w:val="23"/>
          <w:szCs w:val="23"/>
          <w:lang w:val="en-US"/>
        </w:rPr>
        <w:t>、</w:t>
      </w:r>
      <w:r w:rsidR="00851555" w:rsidRPr="00851555">
        <w:rPr>
          <w:rFonts w:ascii="Arial" w:eastAsia="宋体" w:hAnsi="Arial" w:cs="Arial"/>
          <w:bCs/>
          <w:sz w:val="23"/>
          <w:szCs w:val="23"/>
          <w:lang w:val="en-US"/>
        </w:rPr>
        <w:t>0.76</w:t>
      </w:r>
      <w:r w:rsidR="00851555" w:rsidRPr="00851555">
        <w:rPr>
          <w:rFonts w:ascii="Arial" w:eastAsia="宋体" w:hAnsi="Arial" w:cs="Arial"/>
          <w:bCs/>
          <w:sz w:val="23"/>
          <w:szCs w:val="23"/>
          <w:lang w:val="en-US"/>
        </w:rPr>
        <w:t>和</w:t>
      </w:r>
      <w:r w:rsidR="00851555" w:rsidRPr="00851555">
        <w:rPr>
          <w:rFonts w:ascii="Arial" w:eastAsia="宋体" w:hAnsi="Arial" w:cs="Arial"/>
          <w:bCs/>
          <w:sz w:val="23"/>
          <w:szCs w:val="23"/>
          <w:lang w:val="en-US"/>
        </w:rPr>
        <w:t>0.68</w:t>
      </w:r>
      <w:r w:rsidR="005633CA">
        <w:rPr>
          <w:rFonts w:ascii="Arial" w:eastAsia="宋体" w:hAnsi="Arial" w:cs="Arial"/>
          <w:bCs/>
          <w:sz w:val="23"/>
          <w:szCs w:val="23"/>
          <w:lang w:val="en-US"/>
        </w:rPr>
        <w:t>个百分点</w:t>
      </w:r>
      <w:r w:rsidR="005633CA">
        <w:rPr>
          <w:rFonts w:ascii="Arial" w:eastAsia="宋体" w:hAnsi="Arial" w:cs="Arial" w:hint="eastAsia"/>
          <w:bCs/>
          <w:sz w:val="23"/>
          <w:szCs w:val="23"/>
          <w:lang w:val="en-US"/>
        </w:rPr>
        <w:t>；</w:t>
      </w:r>
      <w:r w:rsidR="005633CA" w:rsidRPr="005633CA">
        <w:rPr>
          <w:rFonts w:ascii="Arial" w:eastAsia="宋体" w:hAnsi="Arial" w:cs="Arial" w:hint="eastAsia"/>
          <w:bCs/>
          <w:sz w:val="23"/>
          <w:szCs w:val="23"/>
          <w:lang w:val="en-US"/>
        </w:rPr>
        <w:t>本集团权重法</w:t>
      </w:r>
      <w:proofErr w:type="gramStart"/>
      <w:r w:rsidR="005633CA" w:rsidRPr="005633CA">
        <w:rPr>
          <w:rFonts w:ascii="Arial" w:eastAsia="宋体" w:hAnsi="Arial" w:cs="Arial" w:hint="eastAsia"/>
          <w:bCs/>
          <w:sz w:val="23"/>
          <w:szCs w:val="23"/>
          <w:lang w:val="en-US"/>
        </w:rPr>
        <w:t>下核心</w:t>
      </w:r>
      <w:proofErr w:type="gramEnd"/>
      <w:r w:rsidR="005633CA" w:rsidRPr="005633CA">
        <w:rPr>
          <w:rFonts w:ascii="Arial" w:eastAsia="宋体" w:hAnsi="Arial" w:cs="Arial" w:hint="eastAsia"/>
          <w:bCs/>
          <w:sz w:val="23"/>
          <w:szCs w:val="23"/>
          <w:lang w:val="en-US"/>
        </w:rPr>
        <w:t>一级资本充足率、一级资本充足率和资本充足率分别为</w:t>
      </w:r>
      <w:r w:rsidR="005633CA" w:rsidRPr="005633CA">
        <w:rPr>
          <w:rFonts w:ascii="Arial" w:eastAsia="宋体" w:hAnsi="Arial" w:cs="Arial"/>
          <w:bCs/>
          <w:sz w:val="23"/>
          <w:szCs w:val="23"/>
          <w:lang w:val="en-US"/>
        </w:rPr>
        <w:t>11.16%</w:t>
      </w:r>
      <w:r w:rsidR="005633CA" w:rsidRPr="005633CA">
        <w:rPr>
          <w:rFonts w:ascii="Arial" w:eastAsia="宋体" w:hAnsi="Arial" w:cs="Arial"/>
          <w:bCs/>
          <w:sz w:val="23"/>
          <w:szCs w:val="23"/>
          <w:lang w:val="en-US"/>
        </w:rPr>
        <w:t>、</w:t>
      </w:r>
      <w:r w:rsidR="005633CA" w:rsidRPr="005633CA">
        <w:rPr>
          <w:rFonts w:ascii="Arial" w:eastAsia="宋体" w:hAnsi="Arial" w:cs="Arial"/>
          <w:bCs/>
          <w:sz w:val="23"/>
          <w:szCs w:val="23"/>
          <w:lang w:val="en-US"/>
        </w:rPr>
        <w:t>12.78%</w:t>
      </w:r>
      <w:r w:rsidR="005633CA" w:rsidRPr="005633CA">
        <w:rPr>
          <w:rFonts w:ascii="Arial" w:eastAsia="宋体" w:hAnsi="Arial" w:cs="Arial"/>
          <w:bCs/>
          <w:sz w:val="23"/>
          <w:szCs w:val="23"/>
          <w:lang w:val="en-US"/>
        </w:rPr>
        <w:t>和</w:t>
      </w:r>
      <w:r w:rsidR="005633CA" w:rsidRPr="005633CA">
        <w:rPr>
          <w:rFonts w:ascii="Arial" w:eastAsia="宋体" w:hAnsi="Arial" w:cs="Arial"/>
          <w:bCs/>
          <w:sz w:val="23"/>
          <w:szCs w:val="23"/>
          <w:lang w:val="en-US"/>
        </w:rPr>
        <w:t>14.19%</w:t>
      </w:r>
      <w:r w:rsidR="005633CA" w:rsidRPr="005633CA">
        <w:rPr>
          <w:rFonts w:ascii="Arial" w:eastAsia="宋体" w:hAnsi="Arial" w:cs="Arial"/>
          <w:bCs/>
          <w:sz w:val="23"/>
          <w:szCs w:val="23"/>
          <w:lang w:val="en-US"/>
        </w:rPr>
        <w:t>，较上年末分别下降</w:t>
      </w:r>
      <w:r w:rsidR="005633CA" w:rsidRPr="005633CA">
        <w:rPr>
          <w:rFonts w:ascii="Arial" w:eastAsia="宋体" w:hAnsi="Arial" w:cs="Arial"/>
          <w:bCs/>
          <w:sz w:val="23"/>
          <w:szCs w:val="23"/>
          <w:lang w:val="en-US"/>
        </w:rPr>
        <w:t>0.36</w:t>
      </w:r>
      <w:r w:rsidR="005633CA" w:rsidRPr="005633CA">
        <w:rPr>
          <w:rFonts w:ascii="Arial" w:eastAsia="宋体" w:hAnsi="Arial" w:cs="Arial"/>
          <w:bCs/>
          <w:sz w:val="23"/>
          <w:szCs w:val="23"/>
          <w:lang w:val="en-US"/>
        </w:rPr>
        <w:t>、</w:t>
      </w:r>
      <w:r w:rsidR="005633CA" w:rsidRPr="005633CA">
        <w:rPr>
          <w:rFonts w:ascii="Arial" w:eastAsia="宋体" w:hAnsi="Arial" w:cs="Arial"/>
          <w:bCs/>
          <w:sz w:val="23"/>
          <w:szCs w:val="23"/>
          <w:lang w:val="en-US"/>
        </w:rPr>
        <w:t>0.47</w:t>
      </w:r>
      <w:r w:rsidR="005633CA" w:rsidRPr="005633CA">
        <w:rPr>
          <w:rFonts w:ascii="Arial" w:eastAsia="宋体" w:hAnsi="Arial" w:cs="Arial"/>
          <w:bCs/>
          <w:sz w:val="23"/>
          <w:szCs w:val="23"/>
          <w:lang w:val="en-US"/>
        </w:rPr>
        <w:t>和</w:t>
      </w:r>
      <w:r w:rsidR="005633CA" w:rsidRPr="005633CA">
        <w:rPr>
          <w:rFonts w:ascii="Arial" w:eastAsia="宋体" w:hAnsi="Arial" w:cs="Arial"/>
          <w:bCs/>
          <w:sz w:val="23"/>
          <w:szCs w:val="23"/>
          <w:lang w:val="en-US"/>
        </w:rPr>
        <w:t>0.49</w:t>
      </w:r>
      <w:r w:rsidR="005633CA" w:rsidRPr="005633CA">
        <w:rPr>
          <w:rFonts w:ascii="Arial" w:eastAsia="宋体" w:hAnsi="Arial" w:cs="Arial"/>
          <w:bCs/>
          <w:sz w:val="23"/>
          <w:szCs w:val="23"/>
          <w:lang w:val="en-US"/>
        </w:rPr>
        <w:t>个百分点。</w:t>
      </w:r>
      <w:r w:rsidR="00915DF5" w:rsidRPr="00915DF5">
        <w:rPr>
          <w:rFonts w:ascii="Arial" w:eastAsia="宋体" w:hAnsi="Arial" w:cs="Arial" w:hint="eastAsia"/>
          <w:bCs/>
          <w:sz w:val="23"/>
          <w:szCs w:val="23"/>
          <w:lang w:val="en-US"/>
        </w:rPr>
        <w:t>如果剔除分红因素影响，各级资本充足率仍保持上升。</w:t>
      </w:r>
    </w:p>
    <w:p w14:paraId="19E72837" w14:textId="77777777" w:rsidR="00061E17" w:rsidRPr="00CF4670" w:rsidRDefault="00061E17">
      <w:pPr>
        <w:widowControl w:val="0"/>
        <w:autoSpaceDE w:val="0"/>
        <w:autoSpaceDN w:val="0"/>
        <w:adjustRightInd w:val="0"/>
        <w:spacing w:after="0" w:line="240" w:lineRule="auto"/>
        <w:jc w:val="both"/>
        <w:rPr>
          <w:rFonts w:ascii="Arial" w:eastAsia="宋体" w:hAnsi="Arial" w:cs="Arial"/>
          <w:bCs/>
          <w:sz w:val="23"/>
          <w:szCs w:val="23"/>
          <w:lang w:val="en-US"/>
        </w:rPr>
      </w:pPr>
    </w:p>
    <w:p w14:paraId="53FE933B" w14:textId="1A022FE2" w:rsidR="00061E17" w:rsidRPr="00CF4670" w:rsidRDefault="00CF4670">
      <w:pPr>
        <w:widowControl w:val="0"/>
        <w:autoSpaceDE w:val="0"/>
        <w:autoSpaceDN w:val="0"/>
        <w:adjustRightInd w:val="0"/>
        <w:spacing w:after="0" w:line="240" w:lineRule="auto"/>
        <w:jc w:val="both"/>
        <w:rPr>
          <w:rFonts w:ascii="Arial" w:eastAsia="宋体" w:hAnsi="Arial" w:cs="Arial"/>
          <w:bCs/>
          <w:sz w:val="23"/>
          <w:szCs w:val="23"/>
          <w:lang w:val="en-US"/>
        </w:rPr>
      </w:pPr>
      <w:r w:rsidRPr="00CF4670">
        <w:rPr>
          <w:rFonts w:ascii="Arial" w:eastAsia="宋体" w:hAnsi="Arial" w:cs="Arial"/>
          <w:bCs/>
          <w:sz w:val="23"/>
          <w:szCs w:val="23"/>
          <w:lang w:val="en-US"/>
        </w:rPr>
        <w:t>截至报告期末，本集团不良贷款余额</w:t>
      </w:r>
      <w:r w:rsidRPr="00CF4670">
        <w:rPr>
          <w:rFonts w:ascii="Arial" w:eastAsia="宋体" w:hAnsi="Arial" w:cs="Arial"/>
          <w:bCs/>
          <w:sz w:val="23"/>
          <w:szCs w:val="23"/>
          <w:lang w:val="en-US"/>
        </w:rPr>
        <w:t>606.41</w:t>
      </w:r>
      <w:r w:rsidRPr="00CF4670">
        <w:rPr>
          <w:rFonts w:ascii="Arial" w:eastAsia="宋体" w:hAnsi="Arial" w:cs="Arial"/>
          <w:bCs/>
          <w:sz w:val="23"/>
          <w:szCs w:val="23"/>
          <w:lang w:val="en-US"/>
        </w:rPr>
        <w:t>亿元，较上年末增加</w:t>
      </w:r>
      <w:r w:rsidRPr="00CF4670">
        <w:rPr>
          <w:rFonts w:ascii="Arial" w:eastAsia="宋体" w:hAnsi="Arial" w:cs="Arial"/>
          <w:bCs/>
          <w:sz w:val="23"/>
          <w:szCs w:val="23"/>
          <w:lang w:val="en-US"/>
        </w:rPr>
        <w:t>26.37</w:t>
      </w:r>
      <w:r w:rsidRPr="00CF4670">
        <w:rPr>
          <w:rFonts w:ascii="Arial" w:eastAsia="宋体" w:hAnsi="Arial" w:cs="Arial"/>
          <w:bCs/>
          <w:sz w:val="23"/>
          <w:szCs w:val="23"/>
          <w:lang w:val="en-US"/>
        </w:rPr>
        <w:t>亿元；不良贷款率</w:t>
      </w:r>
      <w:r w:rsidRPr="00CF4670">
        <w:rPr>
          <w:rFonts w:ascii="Arial" w:eastAsia="宋体" w:hAnsi="Arial" w:cs="Arial"/>
          <w:bCs/>
          <w:sz w:val="23"/>
          <w:szCs w:val="23"/>
          <w:lang w:val="en-US"/>
        </w:rPr>
        <w:t>0.95%</w:t>
      </w:r>
      <w:r w:rsidRPr="00CF4670">
        <w:rPr>
          <w:rFonts w:ascii="Arial" w:eastAsia="宋体" w:hAnsi="Arial" w:cs="Arial"/>
          <w:bCs/>
          <w:sz w:val="23"/>
          <w:szCs w:val="23"/>
          <w:lang w:val="en-US"/>
        </w:rPr>
        <w:t>，较上年末下降</w:t>
      </w:r>
      <w:r w:rsidRPr="00CF4670">
        <w:rPr>
          <w:rFonts w:ascii="Arial" w:eastAsia="宋体" w:hAnsi="Arial" w:cs="Arial"/>
          <w:bCs/>
          <w:sz w:val="23"/>
          <w:szCs w:val="23"/>
          <w:lang w:val="en-US"/>
        </w:rPr>
        <w:t>0.01</w:t>
      </w:r>
      <w:r w:rsidRPr="00CF4670">
        <w:rPr>
          <w:rFonts w:ascii="Arial" w:eastAsia="宋体" w:hAnsi="Arial" w:cs="Arial"/>
          <w:bCs/>
          <w:sz w:val="23"/>
          <w:szCs w:val="23"/>
          <w:lang w:val="en-US"/>
        </w:rPr>
        <w:t>个百分点；拨备覆盖率</w:t>
      </w:r>
      <w:r w:rsidRPr="00CF4670">
        <w:rPr>
          <w:rFonts w:ascii="Arial" w:eastAsia="宋体" w:hAnsi="Arial" w:cs="Arial"/>
          <w:bCs/>
          <w:sz w:val="23"/>
          <w:szCs w:val="23"/>
          <w:lang w:val="en-US"/>
        </w:rPr>
        <w:t>447.63%</w:t>
      </w:r>
      <w:r w:rsidRPr="00CF4670">
        <w:rPr>
          <w:rFonts w:ascii="Arial" w:eastAsia="宋体" w:hAnsi="Arial" w:cs="Arial"/>
          <w:bCs/>
          <w:sz w:val="23"/>
          <w:szCs w:val="23"/>
          <w:lang w:val="en-US"/>
        </w:rPr>
        <w:t>，较上年末下降</w:t>
      </w:r>
      <w:r w:rsidRPr="00CF4670">
        <w:rPr>
          <w:rFonts w:ascii="Arial" w:eastAsia="宋体" w:hAnsi="Arial" w:cs="Arial"/>
          <w:bCs/>
          <w:sz w:val="23"/>
          <w:szCs w:val="23"/>
          <w:lang w:val="en-US"/>
        </w:rPr>
        <w:t>3.16</w:t>
      </w:r>
      <w:r w:rsidRPr="00CF4670">
        <w:rPr>
          <w:rFonts w:ascii="Arial" w:eastAsia="宋体" w:hAnsi="Arial" w:cs="Arial"/>
          <w:bCs/>
          <w:sz w:val="23"/>
          <w:szCs w:val="23"/>
          <w:lang w:val="en-US"/>
        </w:rPr>
        <w:t>个百分点；贷款</w:t>
      </w:r>
      <w:proofErr w:type="gramStart"/>
      <w:r w:rsidRPr="00CF4670">
        <w:rPr>
          <w:rFonts w:ascii="Arial" w:eastAsia="宋体" w:hAnsi="Arial" w:cs="Arial"/>
          <w:bCs/>
          <w:sz w:val="23"/>
          <w:szCs w:val="23"/>
          <w:lang w:val="en-US"/>
        </w:rPr>
        <w:t>拨备率</w:t>
      </w:r>
      <w:proofErr w:type="gramEnd"/>
      <w:r w:rsidRPr="00CF4670">
        <w:rPr>
          <w:rFonts w:ascii="Arial" w:eastAsia="宋体" w:hAnsi="Arial" w:cs="Arial"/>
          <w:bCs/>
          <w:sz w:val="23"/>
          <w:szCs w:val="23"/>
          <w:lang w:val="en-US"/>
        </w:rPr>
        <w:t>4.27%</w:t>
      </w:r>
      <w:r w:rsidRPr="00CF4670">
        <w:rPr>
          <w:rFonts w:ascii="Arial" w:eastAsia="宋体" w:hAnsi="Arial" w:cs="Arial"/>
          <w:bCs/>
          <w:sz w:val="23"/>
          <w:szCs w:val="23"/>
          <w:lang w:val="en-US"/>
        </w:rPr>
        <w:t>，较上年末下降</w:t>
      </w:r>
      <w:r w:rsidRPr="00CF4670">
        <w:rPr>
          <w:rFonts w:ascii="Arial" w:eastAsia="宋体" w:hAnsi="Arial" w:cs="Arial"/>
          <w:bCs/>
          <w:sz w:val="23"/>
          <w:szCs w:val="23"/>
          <w:lang w:val="en-US"/>
        </w:rPr>
        <w:t>0.05</w:t>
      </w:r>
      <w:r w:rsidRPr="00CF4670">
        <w:rPr>
          <w:rFonts w:ascii="Arial" w:eastAsia="宋体" w:hAnsi="Arial" w:cs="Arial"/>
          <w:bCs/>
          <w:sz w:val="23"/>
          <w:szCs w:val="23"/>
          <w:lang w:val="en-US"/>
        </w:rPr>
        <w:t>个百分点。</w:t>
      </w:r>
    </w:p>
    <w:p w14:paraId="686322AF" w14:textId="77777777" w:rsidR="00061E17" w:rsidRPr="00CF4670" w:rsidRDefault="007C101A">
      <w:pPr>
        <w:widowControl w:val="0"/>
        <w:autoSpaceDE w:val="0"/>
        <w:autoSpaceDN w:val="0"/>
        <w:adjustRightInd w:val="0"/>
        <w:spacing w:after="0" w:line="240" w:lineRule="auto"/>
        <w:jc w:val="both"/>
        <w:rPr>
          <w:rFonts w:ascii="Arial" w:eastAsia="宋体" w:hAnsi="Arial" w:cs="Arial"/>
          <w:kern w:val="2"/>
          <w:sz w:val="23"/>
          <w:szCs w:val="23"/>
          <w:lang w:val="en-US"/>
        </w:rPr>
      </w:pPr>
      <w:r w:rsidRPr="00CF4670">
        <w:rPr>
          <w:rFonts w:ascii="Arial" w:eastAsia="宋体" w:hAnsi="Arial" w:cs="Arial"/>
          <w:b/>
          <w:noProof/>
          <w:kern w:val="2"/>
          <w:sz w:val="23"/>
          <w:szCs w:val="23"/>
          <w:lang w:val="en-US"/>
        </w:rPr>
        <mc:AlternateContent>
          <mc:Choice Requires="wps">
            <w:drawing>
              <wp:anchor distT="0" distB="0" distL="114300" distR="114300" simplePos="0" relativeHeight="251662336" behindDoc="1" locked="0" layoutInCell="1" allowOverlap="1" wp14:anchorId="0C5AEF18" wp14:editId="17932843">
                <wp:simplePos x="0" y="0"/>
                <wp:positionH relativeFrom="column">
                  <wp:posOffset>-23495</wp:posOffset>
                </wp:positionH>
                <wp:positionV relativeFrom="paragraph">
                  <wp:posOffset>193040</wp:posOffset>
                </wp:positionV>
                <wp:extent cx="1750060" cy="304800"/>
                <wp:effectExtent l="0" t="0" r="254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207"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Rectangle: Rounded Corners 10" o:spid="_x0000_s1026" o:spt="2" style="position:absolute;left:0pt;margin-left:-1.85pt;margin-top:15.2pt;height:24pt;width:137.8pt;z-index:-251654144;mso-width-relative:page;mso-height-relative:page;" fillcolor="#FF0000" filled="t" stroked="f" coordsize="21600,21600" arcsize="0.166666666666667" o:gfxdata="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oWvkNcAAAAIAQAADwAAAAAAAAABACAAAAAiAAAAZHJzL2Rvd25y&#10;ZXYueG1sUEsBAhQAFAAAAAgAh07iQD6KwNFxAgAA4QQAAA4AAAAAAAAAAQAgAAAAJgEAAGRycy9l&#10;Mm9Eb2MueG1sUEsFBgAAAAAGAAYAWQEAAAkGAAAAAA==&#10;">
                <v:fill type="gradient" on="t" color2="#FFCCCC" angle="45" focus="100%" focussize="0,0"/>
                <v:stroke on="f"/>
                <v:imagedata o:title=""/>
                <o:lock v:ext="edit" aspectratio="f"/>
              </v:roundrect>
            </w:pict>
          </mc:Fallback>
        </mc:AlternateContent>
      </w:r>
    </w:p>
    <w:p w14:paraId="3E369520" w14:textId="77777777" w:rsidR="00061E17" w:rsidRPr="00CF4670" w:rsidRDefault="007C101A">
      <w:pPr>
        <w:widowControl w:val="0"/>
        <w:spacing w:after="0" w:line="240" w:lineRule="auto"/>
        <w:jc w:val="both"/>
        <w:rPr>
          <w:rFonts w:ascii="Arial" w:eastAsia="宋体" w:hAnsi="Arial" w:cs="Arial"/>
          <w:b/>
          <w:kern w:val="2"/>
          <w:sz w:val="23"/>
          <w:szCs w:val="23"/>
          <w:lang w:val="en-US"/>
        </w:rPr>
      </w:pPr>
      <w:r w:rsidRPr="00CF4670">
        <w:rPr>
          <w:rFonts w:ascii="Arial" w:eastAsia="宋体" w:hAnsi="Arial" w:cs="Arial"/>
          <w:b/>
          <w:kern w:val="2"/>
          <w:sz w:val="23"/>
          <w:szCs w:val="23"/>
          <w:lang w:val="en-US"/>
        </w:rPr>
        <w:t>二、本公司业务运作情况</w:t>
      </w:r>
    </w:p>
    <w:p w14:paraId="4F03C8A3" w14:textId="77777777" w:rsidR="00061E17" w:rsidRPr="00CF4670" w:rsidRDefault="00061E17">
      <w:pPr>
        <w:widowControl w:val="0"/>
        <w:autoSpaceDE w:val="0"/>
        <w:autoSpaceDN w:val="0"/>
        <w:adjustRightInd w:val="0"/>
        <w:spacing w:after="0" w:line="240" w:lineRule="auto"/>
        <w:jc w:val="both"/>
        <w:rPr>
          <w:rFonts w:ascii="Arial" w:eastAsia="宋体" w:hAnsi="Arial" w:cs="Arial"/>
          <w:b/>
          <w:sz w:val="23"/>
          <w:szCs w:val="23"/>
          <w:lang w:val="en-US"/>
        </w:rPr>
      </w:pPr>
    </w:p>
    <w:p w14:paraId="5F34F126" w14:textId="6AE5CA10" w:rsidR="00061E17" w:rsidRPr="00CF4670" w:rsidRDefault="00CF4670">
      <w:pPr>
        <w:widowControl w:val="0"/>
        <w:autoSpaceDE w:val="0"/>
        <w:autoSpaceDN w:val="0"/>
        <w:adjustRightInd w:val="0"/>
        <w:spacing w:after="0" w:line="240" w:lineRule="auto"/>
        <w:jc w:val="both"/>
        <w:rPr>
          <w:rFonts w:ascii="Arial" w:eastAsia="宋体" w:hAnsi="Arial" w:cs="Arial"/>
          <w:bCs/>
          <w:sz w:val="23"/>
          <w:szCs w:val="23"/>
          <w:lang w:val="en-US"/>
        </w:rPr>
      </w:pPr>
      <w:r w:rsidRPr="00CF4670">
        <w:rPr>
          <w:rFonts w:ascii="Arial" w:eastAsia="宋体" w:hAnsi="Arial" w:cs="Arial"/>
          <w:bCs/>
          <w:sz w:val="23"/>
          <w:szCs w:val="23"/>
          <w:lang w:val="en-US"/>
        </w:rPr>
        <w:t>报告期内，本公司围绕</w:t>
      </w:r>
      <w:r w:rsidR="00EA22A2">
        <w:rPr>
          <w:rFonts w:ascii="Arial" w:eastAsia="宋体" w:hAnsi="Arial" w:cs="Arial" w:hint="eastAsia"/>
          <w:bCs/>
          <w:sz w:val="23"/>
          <w:szCs w:val="23"/>
          <w:lang w:val="en-US"/>
        </w:rPr>
        <w:t>“</w:t>
      </w:r>
      <w:r w:rsidR="00EA22A2" w:rsidRPr="00CF4670">
        <w:rPr>
          <w:rFonts w:ascii="Arial" w:eastAsia="宋体" w:hAnsi="Arial" w:cs="Arial"/>
          <w:bCs/>
          <w:sz w:val="23"/>
          <w:szCs w:val="23"/>
          <w:lang w:val="en-US"/>
        </w:rPr>
        <w:t>价值银行</w:t>
      </w:r>
      <w:r w:rsidR="00EA22A2">
        <w:rPr>
          <w:rFonts w:ascii="Arial" w:eastAsia="宋体" w:hAnsi="Arial" w:cs="Arial" w:hint="eastAsia"/>
          <w:bCs/>
          <w:sz w:val="23"/>
          <w:szCs w:val="23"/>
          <w:lang w:val="en-US"/>
        </w:rPr>
        <w:t>”</w:t>
      </w:r>
      <w:r w:rsidRPr="00CF4670">
        <w:rPr>
          <w:rFonts w:ascii="Arial" w:eastAsia="宋体" w:hAnsi="Arial" w:cs="Arial"/>
          <w:bCs/>
          <w:sz w:val="23"/>
          <w:szCs w:val="23"/>
          <w:lang w:val="en-US"/>
        </w:rPr>
        <w:t>战略目标，坚持</w:t>
      </w:r>
      <w:r w:rsidR="00EA22A2">
        <w:rPr>
          <w:rFonts w:ascii="Arial" w:eastAsia="宋体" w:hAnsi="Arial" w:cs="Arial" w:hint="eastAsia"/>
          <w:bCs/>
          <w:sz w:val="23"/>
          <w:szCs w:val="23"/>
          <w:lang w:val="en-US"/>
        </w:rPr>
        <w:t>“</w:t>
      </w:r>
      <w:r w:rsidRPr="00CF4670">
        <w:rPr>
          <w:rFonts w:ascii="Arial" w:eastAsia="宋体" w:hAnsi="Arial" w:cs="Arial"/>
          <w:bCs/>
          <w:sz w:val="23"/>
          <w:szCs w:val="23"/>
          <w:lang w:val="en-US"/>
        </w:rPr>
        <w:t>质量为本、效益优先、规模适度、结构合理</w:t>
      </w:r>
      <w:r w:rsidR="00EA22A2">
        <w:rPr>
          <w:rFonts w:ascii="Arial" w:eastAsia="宋体" w:hAnsi="Arial" w:cs="Arial" w:hint="eastAsia"/>
          <w:bCs/>
          <w:sz w:val="23"/>
          <w:szCs w:val="23"/>
          <w:lang w:val="en-US"/>
        </w:rPr>
        <w:t>”</w:t>
      </w:r>
      <w:r w:rsidRPr="00CF4670">
        <w:rPr>
          <w:rFonts w:ascii="Arial" w:eastAsia="宋体" w:hAnsi="Arial" w:cs="Arial"/>
          <w:bCs/>
          <w:sz w:val="23"/>
          <w:szCs w:val="23"/>
          <w:lang w:val="en-US"/>
        </w:rPr>
        <w:t>，聚焦价值创造不断提升核心竞争力。</w:t>
      </w:r>
    </w:p>
    <w:p w14:paraId="0D143A24" w14:textId="77777777" w:rsidR="00061E17" w:rsidRPr="00CF4670" w:rsidRDefault="00061E17">
      <w:pPr>
        <w:widowControl w:val="0"/>
        <w:autoSpaceDE w:val="0"/>
        <w:autoSpaceDN w:val="0"/>
        <w:adjustRightInd w:val="0"/>
        <w:spacing w:after="0" w:line="240" w:lineRule="auto"/>
        <w:jc w:val="both"/>
        <w:rPr>
          <w:rFonts w:ascii="Arial" w:eastAsia="宋体" w:hAnsi="Arial" w:cs="Arial"/>
          <w:b/>
          <w:sz w:val="23"/>
          <w:szCs w:val="23"/>
          <w:lang w:val="en-US"/>
        </w:rPr>
      </w:pPr>
      <w:bookmarkStart w:id="2" w:name="_Hlk17309961"/>
    </w:p>
    <w:p w14:paraId="5C0729CE" w14:textId="48431B78" w:rsidR="00061E17" w:rsidRPr="00CF4670" w:rsidRDefault="00CF4670">
      <w:pPr>
        <w:widowControl w:val="0"/>
        <w:numPr>
          <w:ilvl w:val="0"/>
          <w:numId w:val="5"/>
        </w:numPr>
        <w:spacing w:after="0" w:line="240" w:lineRule="auto"/>
        <w:ind w:left="426" w:hanging="426"/>
        <w:jc w:val="both"/>
        <w:rPr>
          <w:rFonts w:ascii="Arial" w:eastAsia="宋体" w:hAnsi="Arial" w:cs="Arial"/>
          <w:b/>
          <w:bCs/>
          <w:kern w:val="2"/>
          <w:sz w:val="23"/>
          <w:szCs w:val="23"/>
          <w:lang w:val="en-US"/>
        </w:rPr>
      </w:pPr>
      <w:r w:rsidRPr="00CF4670">
        <w:rPr>
          <w:rFonts w:ascii="Arial" w:eastAsia="宋体" w:hAnsi="Arial" w:cs="Arial" w:hint="eastAsia"/>
          <w:b/>
          <w:bCs/>
          <w:kern w:val="2"/>
          <w:sz w:val="23"/>
          <w:szCs w:val="23"/>
          <w:lang w:val="en-US"/>
        </w:rPr>
        <w:t>零售金融体系化优势持续巩固</w:t>
      </w:r>
    </w:p>
    <w:p w14:paraId="3A18AD1D" w14:textId="77777777" w:rsidR="0094250E" w:rsidRDefault="0094250E" w:rsidP="0050732F">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p>
    <w:p w14:paraId="7061D375" w14:textId="5CB89CF6" w:rsidR="005654DD" w:rsidRDefault="0094250E" w:rsidP="0050732F">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r w:rsidRPr="00F92F42">
        <w:rPr>
          <w:rFonts w:ascii="Arial" w:eastAsia="宋体" w:hAnsi="Arial" w:cs="Arial" w:hint="eastAsia"/>
          <w:color w:val="000000"/>
          <w:sz w:val="23"/>
          <w:szCs w:val="23"/>
          <w:lang w:val="en-US"/>
        </w:rPr>
        <w:t>本公司</w:t>
      </w:r>
      <w:r w:rsidR="0050732F" w:rsidRPr="00F92F42">
        <w:rPr>
          <w:rFonts w:ascii="Arial" w:eastAsia="宋体" w:hAnsi="Arial" w:cs="Arial" w:hint="eastAsia"/>
          <w:color w:val="000000"/>
          <w:sz w:val="23"/>
          <w:szCs w:val="23"/>
          <w:lang w:val="en-US"/>
        </w:rPr>
        <w:t>始终坚守</w:t>
      </w:r>
      <w:r w:rsidR="00EA22A2">
        <w:rPr>
          <w:rFonts w:ascii="Arial" w:eastAsia="宋体" w:hAnsi="Arial" w:cs="Arial" w:hint="eastAsia"/>
          <w:color w:val="000000"/>
          <w:sz w:val="23"/>
          <w:szCs w:val="23"/>
          <w:lang w:val="en-US"/>
        </w:rPr>
        <w:t>“</w:t>
      </w:r>
      <w:r w:rsidR="00EA22A2" w:rsidRPr="002A793C">
        <w:rPr>
          <w:rFonts w:ascii="Arial" w:eastAsia="宋体" w:hAnsi="Arial" w:cs="Arial" w:hint="eastAsia"/>
          <w:color w:val="000000"/>
          <w:sz w:val="23"/>
          <w:szCs w:val="23"/>
          <w:lang w:val="en-US"/>
        </w:rPr>
        <w:t>以客户为中心</w:t>
      </w:r>
      <w:r w:rsidR="00EA22A2">
        <w:rPr>
          <w:rFonts w:ascii="Arial" w:eastAsia="宋体" w:hAnsi="Arial" w:cs="Arial" w:hint="eastAsia"/>
          <w:color w:val="000000"/>
          <w:sz w:val="23"/>
          <w:szCs w:val="23"/>
          <w:lang w:val="en-US"/>
        </w:rPr>
        <w:t>”</w:t>
      </w:r>
      <w:r w:rsidR="0050732F" w:rsidRPr="00F92F42">
        <w:rPr>
          <w:rFonts w:ascii="Arial" w:eastAsia="宋体" w:hAnsi="Arial" w:cs="Arial" w:hint="eastAsia"/>
          <w:color w:val="000000"/>
          <w:sz w:val="23"/>
          <w:szCs w:val="23"/>
          <w:lang w:val="en-US"/>
        </w:rPr>
        <w:t>的价值观，零售客群和业务规模均保持稳定增长。</w:t>
      </w:r>
      <w:r w:rsidR="00CF4670" w:rsidRPr="00CF4670">
        <w:rPr>
          <w:rFonts w:ascii="Arial" w:eastAsia="宋体" w:hAnsi="Arial" w:cs="Arial"/>
          <w:color w:val="000000"/>
          <w:sz w:val="23"/>
          <w:szCs w:val="23"/>
          <w:lang w:val="en-US"/>
        </w:rPr>
        <w:t>截至报告期末，本公司零售客户</w:t>
      </w:r>
      <w:r w:rsidR="00CF4670" w:rsidRPr="00CF4670">
        <w:rPr>
          <w:rFonts w:ascii="Arial" w:eastAsia="宋体" w:hAnsi="Arial" w:cs="Arial"/>
          <w:color w:val="000000"/>
          <w:sz w:val="23"/>
          <w:szCs w:val="23"/>
          <w:lang w:val="en-US"/>
        </w:rPr>
        <w:t>1.90</w:t>
      </w:r>
      <w:r w:rsidR="00CF4670" w:rsidRPr="00CF4670">
        <w:rPr>
          <w:rFonts w:ascii="Arial" w:eastAsia="宋体" w:hAnsi="Arial" w:cs="Arial"/>
          <w:color w:val="000000"/>
          <w:sz w:val="23"/>
          <w:szCs w:val="23"/>
          <w:lang w:val="en-US"/>
        </w:rPr>
        <w:t>亿户（</w:t>
      </w:r>
      <w:proofErr w:type="gramStart"/>
      <w:r w:rsidR="00CF4670" w:rsidRPr="00CF4670">
        <w:rPr>
          <w:rFonts w:ascii="Arial" w:eastAsia="宋体" w:hAnsi="Arial" w:cs="Arial"/>
          <w:color w:val="000000"/>
          <w:sz w:val="23"/>
          <w:szCs w:val="23"/>
          <w:lang w:val="en-US"/>
        </w:rPr>
        <w:t>含借记卡</w:t>
      </w:r>
      <w:proofErr w:type="gramEnd"/>
      <w:r w:rsidR="00CF4670" w:rsidRPr="00CF4670">
        <w:rPr>
          <w:rFonts w:ascii="Arial" w:eastAsia="宋体" w:hAnsi="Arial" w:cs="Arial"/>
          <w:color w:val="000000"/>
          <w:sz w:val="23"/>
          <w:szCs w:val="23"/>
          <w:lang w:val="en-US"/>
        </w:rPr>
        <w:t>和信用卡客户），较上年末增长</w:t>
      </w:r>
      <w:r w:rsidR="00CF4670" w:rsidRPr="00CF4670">
        <w:rPr>
          <w:rFonts w:ascii="Arial" w:eastAsia="宋体" w:hAnsi="Arial" w:cs="Arial"/>
          <w:color w:val="000000"/>
          <w:sz w:val="23"/>
          <w:szCs w:val="23"/>
          <w:lang w:val="en-US"/>
        </w:rPr>
        <w:t>3.26%</w:t>
      </w:r>
      <w:r w:rsidR="00CF4670" w:rsidRPr="00CF4670">
        <w:rPr>
          <w:rFonts w:ascii="Arial" w:eastAsia="宋体" w:hAnsi="Arial" w:cs="Arial"/>
          <w:color w:val="000000"/>
          <w:sz w:val="23"/>
          <w:szCs w:val="23"/>
          <w:lang w:val="en-US"/>
        </w:rPr>
        <w:t>，其中，金葵花及以上客户（指在本公司月</w:t>
      </w:r>
      <w:proofErr w:type="gramStart"/>
      <w:r w:rsidR="00CF4670" w:rsidRPr="00CF4670">
        <w:rPr>
          <w:rFonts w:ascii="Arial" w:eastAsia="宋体" w:hAnsi="Arial" w:cs="Arial"/>
          <w:color w:val="000000"/>
          <w:sz w:val="23"/>
          <w:szCs w:val="23"/>
          <w:lang w:val="en-US"/>
        </w:rPr>
        <w:t>日均总</w:t>
      </w:r>
      <w:proofErr w:type="gramEnd"/>
      <w:r w:rsidR="00CF4670" w:rsidRPr="00CF4670">
        <w:rPr>
          <w:rFonts w:ascii="Arial" w:eastAsia="宋体" w:hAnsi="Arial" w:cs="Arial"/>
          <w:color w:val="000000"/>
          <w:sz w:val="23"/>
          <w:szCs w:val="23"/>
          <w:lang w:val="en-US"/>
        </w:rPr>
        <w:t>资产在</w:t>
      </w:r>
      <w:r w:rsidR="00CF4670" w:rsidRPr="00CF4670">
        <w:rPr>
          <w:rFonts w:ascii="Arial" w:eastAsia="宋体" w:hAnsi="Arial" w:cs="Arial"/>
          <w:color w:val="000000"/>
          <w:sz w:val="23"/>
          <w:szCs w:val="23"/>
          <w:lang w:val="en-US"/>
        </w:rPr>
        <w:t>50</w:t>
      </w:r>
      <w:r w:rsidR="00CF4670" w:rsidRPr="00CF4670">
        <w:rPr>
          <w:rFonts w:ascii="Arial" w:eastAsia="宋体" w:hAnsi="Arial" w:cs="Arial"/>
          <w:color w:val="000000"/>
          <w:sz w:val="23"/>
          <w:szCs w:val="23"/>
          <w:lang w:val="en-US"/>
        </w:rPr>
        <w:t>万元及以上的零售客户）</w:t>
      </w:r>
      <w:r w:rsidR="00CF4670" w:rsidRPr="00CF4670">
        <w:rPr>
          <w:rFonts w:ascii="Arial" w:eastAsia="宋体" w:hAnsi="Arial" w:cs="Arial"/>
          <w:color w:val="000000"/>
          <w:sz w:val="23"/>
          <w:szCs w:val="23"/>
          <w:lang w:val="en-US"/>
        </w:rPr>
        <w:t>444.15</w:t>
      </w:r>
      <w:r w:rsidR="00CF4670" w:rsidRPr="00CF4670">
        <w:rPr>
          <w:rFonts w:ascii="Arial" w:eastAsia="宋体" w:hAnsi="Arial" w:cs="Arial"/>
          <w:color w:val="000000"/>
          <w:sz w:val="23"/>
          <w:szCs w:val="23"/>
          <w:lang w:val="en-US"/>
        </w:rPr>
        <w:t>万户，较上年末增长</w:t>
      </w:r>
      <w:r w:rsidR="00CF4670" w:rsidRPr="00CF4670">
        <w:rPr>
          <w:rFonts w:ascii="Arial" w:eastAsia="宋体" w:hAnsi="Arial" w:cs="Arial"/>
          <w:color w:val="000000"/>
          <w:sz w:val="23"/>
          <w:szCs w:val="23"/>
          <w:lang w:val="en-US"/>
        </w:rPr>
        <w:t>7.19%</w:t>
      </w:r>
      <w:r w:rsidR="00CF4670" w:rsidRPr="00CF4670">
        <w:rPr>
          <w:rFonts w:ascii="Arial" w:eastAsia="宋体" w:hAnsi="Arial" w:cs="Arial"/>
          <w:color w:val="000000"/>
          <w:sz w:val="23"/>
          <w:szCs w:val="23"/>
          <w:lang w:val="en-US"/>
        </w:rPr>
        <w:t>。本公司管理零售客户总资产余额</w:t>
      </w:r>
      <w:r w:rsidR="00CF4670" w:rsidRPr="00CF4670">
        <w:rPr>
          <w:rFonts w:ascii="Arial" w:eastAsia="宋体" w:hAnsi="Arial" w:cs="Arial"/>
          <w:color w:val="000000"/>
          <w:sz w:val="23"/>
          <w:szCs w:val="23"/>
          <w:lang w:val="en-US"/>
        </w:rPr>
        <w:t>128,381.79</w:t>
      </w:r>
      <w:r w:rsidR="00CF4670" w:rsidRPr="00CF4670">
        <w:rPr>
          <w:rFonts w:ascii="Arial" w:eastAsia="宋体" w:hAnsi="Arial" w:cs="Arial"/>
          <w:color w:val="000000"/>
          <w:sz w:val="23"/>
          <w:szCs w:val="23"/>
          <w:lang w:val="en-US"/>
        </w:rPr>
        <w:t>亿元，较上年末</w:t>
      </w:r>
      <w:r w:rsidR="00CF4670" w:rsidRPr="00CF4670">
        <w:rPr>
          <w:rFonts w:ascii="Arial" w:eastAsia="宋体" w:hAnsi="Arial" w:cs="Arial"/>
          <w:color w:val="000000"/>
          <w:sz w:val="23"/>
          <w:szCs w:val="23"/>
          <w:lang w:val="en-US"/>
        </w:rPr>
        <w:lastRenderedPageBreak/>
        <w:t>增长</w:t>
      </w:r>
      <w:r w:rsidR="00CF4670" w:rsidRPr="00CF4670">
        <w:rPr>
          <w:rFonts w:ascii="Arial" w:eastAsia="宋体" w:hAnsi="Arial" w:cs="Arial"/>
          <w:color w:val="000000"/>
          <w:sz w:val="23"/>
          <w:szCs w:val="23"/>
          <w:lang w:val="en-US"/>
        </w:rPr>
        <w:t>5.90%</w:t>
      </w:r>
      <w:r w:rsidR="00CF4670" w:rsidRPr="00CF4670">
        <w:rPr>
          <w:rFonts w:ascii="Arial" w:eastAsia="宋体" w:hAnsi="Arial" w:cs="Arial"/>
          <w:color w:val="000000"/>
          <w:sz w:val="23"/>
          <w:szCs w:val="23"/>
          <w:lang w:val="en-US"/>
        </w:rPr>
        <w:t>，其中，管理金葵花及以上客户总资产余额</w:t>
      </w:r>
      <w:r w:rsidR="00CF4670" w:rsidRPr="00CF4670">
        <w:rPr>
          <w:rFonts w:ascii="Arial" w:eastAsia="宋体" w:hAnsi="Arial" w:cs="Arial"/>
          <w:color w:val="000000"/>
          <w:sz w:val="23"/>
          <w:szCs w:val="23"/>
          <w:lang w:val="en-US"/>
        </w:rPr>
        <w:t>104,681.70</w:t>
      </w:r>
      <w:r w:rsidR="00CF4670" w:rsidRPr="00CF4670">
        <w:rPr>
          <w:rFonts w:ascii="Arial" w:eastAsia="宋体" w:hAnsi="Arial" w:cs="Arial"/>
          <w:color w:val="000000"/>
          <w:sz w:val="23"/>
          <w:szCs w:val="23"/>
          <w:lang w:val="en-US"/>
        </w:rPr>
        <w:t>亿元，较上年末增长</w:t>
      </w:r>
      <w:r w:rsidR="00CF4670" w:rsidRPr="00CF4670">
        <w:rPr>
          <w:rFonts w:ascii="Arial" w:eastAsia="宋体" w:hAnsi="Arial" w:cs="Arial"/>
          <w:color w:val="000000"/>
          <w:sz w:val="23"/>
          <w:szCs w:val="23"/>
          <w:lang w:val="en-US"/>
        </w:rPr>
        <w:t>6.10%</w:t>
      </w:r>
      <w:r w:rsidR="00CF4670" w:rsidRPr="00CF4670">
        <w:rPr>
          <w:rFonts w:ascii="Arial" w:eastAsia="宋体" w:hAnsi="Arial" w:cs="Arial"/>
          <w:color w:val="000000"/>
          <w:sz w:val="23"/>
          <w:szCs w:val="23"/>
          <w:lang w:val="en-US"/>
        </w:rPr>
        <w:t>。本公司零售客户存款余额</w:t>
      </w:r>
      <w:r w:rsidR="00CF4670" w:rsidRPr="00CF4670">
        <w:rPr>
          <w:rFonts w:ascii="Arial" w:eastAsia="宋体" w:hAnsi="Arial" w:cs="Arial"/>
          <w:color w:val="000000"/>
          <w:sz w:val="23"/>
          <w:szCs w:val="23"/>
          <w:lang w:val="en-US"/>
        </w:rPr>
        <w:t>31,380.72</w:t>
      </w:r>
      <w:r w:rsidR="00CF4670" w:rsidRPr="00CF4670">
        <w:rPr>
          <w:rFonts w:ascii="Arial" w:eastAsia="宋体" w:hAnsi="Arial" w:cs="Arial"/>
          <w:color w:val="000000"/>
          <w:sz w:val="23"/>
          <w:szCs w:val="23"/>
          <w:lang w:val="en-US"/>
        </w:rPr>
        <w:t>亿元，较上年末增长</w:t>
      </w:r>
      <w:r w:rsidR="00CF4670" w:rsidRPr="00CF4670">
        <w:rPr>
          <w:rFonts w:ascii="Arial" w:eastAsia="宋体" w:hAnsi="Arial" w:cs="Arial"/>
          <w:color w:val="000000"/>
          <w:sz w:val="23"/>
          <w:szCs w:val="23"/>
          <w:lang w:val="en-US"/>
        </w:rPr>
        <w:t>6.17%</w:t>
      </w:r>
      <w:r w:rsidR="00CF4670" w:rsidRPr="00CF4670">
        <w:rPr>
          <w:rFonts w:ascii="Arial" w:eastAsia="宋体" w:hAnsi="Arial" w:cs="Arial"/>
          <w:color w:val="000000"/>
          <w:sz w:val="23"/>
          <w:szCs w:val="23"/>
          <w:lang w:val="en-US"/>
        </w:rPr>
        <w:t>。本公司零售客户存款日均余额中活期占比</w:t>
      </w:r>
      <w:r w:rsidR="00CF4670" w:rsidRPr="00CF4670">
        <w:rPr>
          <w:rFonts w:ascii="Arial" w:eastAsia="宋体" w:hAnsi="Arial" w:cs="Arial"/>
          <w:color w:val="000000"/>
          <w:sz w:val="23"/>
          <w:szCs w:val="23"/>
          <w:lang w:val="en-US"/>
        </w:rPr>
        <w:t>61.12%</w:t>
      </w:r>
      <w:r w:rsidR="00CF4670" w:rsidRPr="00CF4670">
        <w:rPr>
          <w:rFonts w:ascii="Arial" w:eastAsia="宋体" w:hAnsi="Arial" w:cs="Arial"/>
          <w:color w:val="000000"/>
          <w:sz w:val="23"/>
          <w:szCs w:val="23"/>
          <w:lang w:val="en-US"/>
        </w:rPr>
        <w:t>。本公司私人银行客户（指在本公司月</w:t>
      </w:r>
      <w:proofErr w:type="gramStart"/>
      <w:r w:rsidR="00CF4670" w:rsidRPr="00CF4670">
        <w:rPr>
          <w:rFonts w:ascii="Arial" w:eastAsia="宋体" w:hAnsi="Arial" w:cs="Arial"/>
          <w:color w:val="000000"/>
          <w:sz w:val="23"/>
          <w:szCs w:val="23"/>
          <w:lang w:val="en-US"/>
        </w:rPr>
        <w:t>日均全折</w:t>
      </w:r>
      <w:proofErr w:type="gramEnd"/>
      <w:r w:rsidR="00CF4670" w:rsidRPr="00CF4670">
        <w:rPr>
          <w:rFonts w:ascii="Arial" w:eastAsia="宋体" w:hAnsi="Arial" w:cs="Arial"/>
          <w:color w:val="000000"/>
          <w:sz w:val="23"/>
          <w:szCs w:val="23"/>
          <w:lang w:val="en-US"/>
        </w:rPr>
        <w:t>人民币总资产在</w:t>
      </w:r>
      <w:r w:rsidR="00CF4670" w:rsidRPr="00CF4670">
        <w:rPr>
          <w:rFonts w:ascii="Arial" w:eastAsia="宋体" w:hAnsi="Arial" w:cs="Arial"/>
          <w:color w:val="000000"/>
          <w:sz w:val="23"/>
          <w:szCs w:val="23"/>
          <w:lang w:val="en-US"/>
        </w:rPr>
        <w:t>1,000</w:t>
      </w:r>
      <w:r w:rsidR="00CF4670" w:rsidRPr="00CF4670">
        <w:rPr>
          <w:rFonts w:ascii="Arial" w:eastAsia="宋体" w:hAnsi="Arial" w:cs="Arial"/>
          <w:color w:val="000000"/>
          <w:sz w:val="23"/>
          <w:szCs w:val="23"/>
          <w:lang w:val="en-US"/>
        </w:rPr>
        <w:t>万元及以上的零售客户）</w:t>
      </w:r>
      <w:r w:rsidR="00CF4670" w:rsidRPr="00CF4670">
        <w:rPr>
          <w:rFonts w:ascii="Arial" w:eastAsia="宋体" w:hAnsi="Arial" w:cs="Arial"/>
          <w:color w:val="000000"/>
          <w:sz w:val="23"/>
          <w:szCs w:val="23"/>
          <w:lang w:val="en-US"/>
        </w:rPr>
        <w:t>143,177</w:t>
      </w:r>
      <w:r w:rsidR="00CF4670" w:rsidRPr="00CF4670">
        <w:rPr>
          <w:rFonts w:ascii="Arial" w:eastAsia="宋体" w:hAnsi="Arial" w:cs="Arial"/>
          <w:color w:val="000000"/>
          <w:sz w:val="23"/>
          <w:szCs w:val="23"/>
          <w:lang w:val="en-US"/>
        </w:rPr>
        <w:t>户，较上年末增长</w:t>
      </w:r>
      <w:r w:rsidR="00CF4670" w:rsidRPr="00CF4670">
        <w:rPr>
          <w:rFonts w:ascii="Arial" w:eastAsia="宋体" w:hAnsi="Arial" w:cs="Arial"/>
          <w:color w:val="000000"/>
          <w:sz w:val="23"/>
          <w:szCs w:val="23"/>
          <w:lang w:val="en-US"/>
        </w:rPr>
        <w:t>6.21%</w:t>
      </w:r>
      <w:r w:rsidR="00CF4670" w:rsidRPr="00CF4670">
        <w:rPr>
          <w:rFonts w:ascii="Arial" w:eastAsia="宋体" w:hAnsi="Arial" w:cs="Arial"/>
          <w:color w:val="000000"/>
          <w:sz w:val="23"/>
          <w:szCs w:val="23"/>
          <w:lang w:val="en-US"/>
        </w:rPr>
        <w:t>；管理的私人银行客户总资产余额较上年末增长</w:t>
      </w:r>
      <w:r w:rsidR="00CF4670" w:rsidRPr="00CF4670">
        <w:rPr>
          <w:rFonts w:ascii="Arial" w:eastAsia="宋体" w:hAnsi="Arial" w:cs="Arial"/>
          <w:color w:val="000000"/>
          <w:sz w:val="23"/>
          <w:szCs w:val="23"/>
          <w:lang w:val="en-US"/>
        </w:rPr>
        <w:t>5.89%</w:t>
      </w:r>
      <w:r w:rsidR="00CF4670" w:rsidRPr="00CF4670">
        <w:rPr>
          <w:rFonts w:ascii="Arial" w:eastAsia="宋体" w:hAnsi="Arial" w:cs="Arial"/>
          <w:color w:val="000000"/>
          <w:sz w:val="23"/>
          <w:szCs w:val="23"/>
          <w:lang w:val="en-US"/>
        </w:rPr>
        <w:t>；户均总资产余额</w:t>
      </w:r>
      <w:r w:rsidR="00CF4670" w:rsidRPr="00CF4670">
        <w:rPr>
          <w:rFonts w:ascii="Arial" w:eastAsia="宋体" w:hAnsi="Arial" w:cs="Arial"/>
          <w:color w:val="000000"/>
          <w:sz w:val="23"/>
          <w:szCs w:val="23"/>
          <w:lang w:val="en-US"/>
        </w:rPr>
        <w:t>2,804.91</w:t>
      </w:r>
      <w:r w:rsidR="00CF4670" w:rsidRPr="00CF4670">
        <w:rPr>
          <w:rFonts w:ascii="Arial" w:eastAsia="宋体" w:hAnsi="Arial" w:cs="Arial"/>
          <w:color w:val="000000"/>
          <w:sz w:val="23"/>
          <w:szCs w:val="23"/>
          <w:lang w:val="en-US"/>
        </w:rPr>
        <w:t>万元，较上年末减少</w:t>
      </w:r>
      <w:r w:rsidR="00CF4670" w:rsidRPr="00CF4670">
        <w:rPr>
          <w:rFonts w:ascii="Arial" w:eastAsia="宋体" w:hAnsi="Arial" w:cs="Arial"/>
          <w:color w:val="000000"/>
          <w:sz w:val="23"/>
          <w:szCs w:val="23"/>
          <w:lang w:val="en-US"/>
        </w:rPr>
        <w:t>8.47</w:t>
      </w:r>
      <w:r w:rsidR="00CF4670" w:rsidRPr="00CF4670">
        <w:rPr>
          <w:rFonts w:ascii="Arial" w:eastAsia="宋体" w:hAnsi="Arial" w:cs="Arial"/>
          <w:color w:val="000000"/>
          <w:sz w:val="23"/>
          <w:szCs w:val="23"/>
          <w:lang w:val="en-US"/>
        </w:rPr>
        <w:t>万元；家族信托业务单数突破万单，业务规模较上年末增长</w:t>
      </w:r>
      <w:r w:rsidR="00CF4670" w:rsidRPr="00CF4670">
        <w:rPr>
          <w:rFonts w:ascii="Arial" w:eastAsia="宋体" w:hAnsi="Arial" w:cs="Arial"/>
          <w:color w:val="000000"/>
          <w:sz w:val="23"/>
          <w:szCs w:val="23"/>
          <w:lang w:val="en-US"/>
        </w:rPr>
        <w:t>22.79%</w:t>
      </w:r>
      <w:r w:rsidR="00CF4670" w:rsidRPr="00CF4670">
        <w:rPr>
          <w:rFonts w:ascii="Arial" w:eastAsia="宋体" w:hAnsi="Arial" w:cs="Arial"/>
          <w:color w:val="000000"/>
          <w:sz w:val="23"/>
          <w:szCs w:val="23"/>
          <w:lang w:val="en-US"/>
        </w:rPr>
        <w:t>。</w:t>
      </w:r>
    </w:p>
    <w:p w14:paraId="13AE2C66" w14:textId="77777777" w:rsidR="00361CE5" w:rsidRDefault="00361CE5" w:rsidP="0050732F">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p>
    <w:p w14:paraId="1F09E3C6" w14:textId="5ADF893E" w:rsidR="00CF4670" w:rsidRPr="0016149B" w:rsidRDefault="0050732F" w:rsidP="0050732F">
      <w:pPr>
        <w:widowControl w:val="0"/>
        <w:autoSpaceDE w:val="0"/>
        <w:autoSpaceDN w:val="0"/>
        <w:adjustRightInd w:val="0"/>
        <w:spacing w:after="0" w:line="240" w:lineRule="auto"/>
        <w:ind w:left="360"/>
        <w:jc w:val="both"/>
        <w:rPr>
          <w:rFonts w:ascii="Arial" w:eastAsia="宋体" w:hAnsi="Arial" w:cs="Arial"/>
          <w:color w:val="000000"/>
          <w:sz w:val="23"/>
          <w:szCs w:val="23"/>
          <w:lang w:val="en-HK"/>
        </w:rPr>
      </w:pPr>
      <w:r w:rsidRPr="0050732F">
        <w:rPr>
          <w:rFonts w:ascii="Arial" w:eastAsia="宋体" w:hAnsi="Arial" w:cs="Arial"/>
          <w:color w:val="000000"/>
          <w:sz w:val="23"/>
          <w:szCs w:val="23"/>
          <w:lang w:val="en-US"/>
        </w:rPr>
        <w:t>报告期内，本公司个人住房贷款业务积极落实国家及各地区的政策要求，坚持因城施策，支持居民合理的自住购房需求，实现该类业务的稳健发展。受需求下降和提前还款影响，个人住房贷款规模有所下降，为此，本公司加大</w:t>
      </w:r>
      <w:proofErr w:type="gramStart"/>
      <w:r w:rsidRPr="0050732F">
        <w:rPr>
          <w:rFonts w:ascii="Arial" w:eastAsia="宋体" w:hAnsi="Arial" w:cs="Arial"/>
          <w:color w:val="000000"/>
          <w:sz w:val="23"/>
          <w:szCs w:val="23"/>
          <w:lang w:val="en-US"/>
        </w:rPr>
        <w:t>一手房</w:t>
      </w:r>
      <w:proofErr w:type="gramEnd"/>
      <w:r w:rsidRPr="0050732F">
        <w:rPr>
          <w:rFonts w:ascii="Arial" w:eastAsia="宋体" w:hAnsi="Arial" w:cs="Arial"/>
          <w:color w:val="000000"/>
          <w:sz w:val="23"/>
          <w:szCs w:val="23"/>
          <w:lang w:val="en-US"/>
        </w:rPr>
        <w:t>和二手房市场开拓力度，个人住房贷款余额</w:t>
      </w:r>
      <w:r w:rsidRPr="0050732F">
        <w:rPr>
          <w:rFonts w:ascii="Arial" w:eastAsia="宋体" w:hAnsi="Arial" w:cs="Arial"/>
          <w:color w:val="000000"/>
          <w:sz w:val="23"/>
          <w:szCs w:val="23"/>
          <w:lang w:val="en-US"/>
        </w:rPr>
        <w:t>13,692.70</w:t>
      </w:r>
      <w:r w:rsidRPr="0050732F">
        <w:rPr>
          <w:rFonts w:ascii="Arial" w:eastAsia="宋体" w:hAnsi="Arial" w:cs="Arial"/>
          <w:color w:val="000000"/>
          <w:sz w:val="23"/>
          <w:szCs w:val="23"/>
          <w:lang w:val="en-US"/>
        </w:rPr>
        <w:t>亿元，较上年末下降</w:t>
      </w:r>
      <w:r w:rsidRPr="0050732F">
        <w:rPr>
          <w:rFonts w:ascii="Arial" w:eastAsia="宋体" w:hAnsi="Arial" w:cs="Arial"/>
          <w:color w:val="000000"/>
          <w:sz w:val="23"/>
          <w:szCs w:val="23"/>
          <w:lang w:val="en-US"/>
        </w:rPr>
        <w:t>0.76%</w:t>
      </w:r>
      <w:r>
        <w:rPr>
          <w:rFonts w:ascii="Arial" w:eastAsia="宋体" w:hAnsi="Arial" w:cs="Arial" w:hint="eastAsia"/>
          <w:color w:val="000000"/>
          <w:sz w:val="23"/>
          <w:szCs w:val="23"/>
          <w:lang w:val="en-US"/>
        </w:rPr>
        <w:t>。</w:t>
      </w:r>
      <w:r w:rsidRPr="0050732F">
        <w:rPr>
          <w:rFonts w:ascii="Arial" w:eastAsia="宋体" w:hAnsi="Arial" w:cs="Arial"/>
          <w:color w:val="000000"/>
          <w:sz w:val="23"/>
          <w:szCs w:val="23"/>
          <w:lang w:val="en-US"/>
        </w:rPr>
        <w:t>在加强风险管理的前提下，增加小</w:t>
      </w:r>
      <w:proofErr w:type="gramStart"/>
      <w:r w:rsidRPr="0050732F">
        <w:rPr>
          <w:rFonts w:ascii="Arial" w:eastAsia="宋体" w:hAnsi="Arial" w:cs="Arial"/>
          <w:color w:val="000000"/>
          <w:sz w:val="23"/>
          <w:szCs w:val="23"/>
          <w:lang w:val="en-US"/>
        </w:rPr>
        <w:t>微贷款</w:t>
      </w:r>
      <w:proofErr w:type="gramEnd"/>
      <w:r w:rsidRPr="0050732F">
        <w:rPr>
          <w:rFonts w:ascii="Arial" w:eastAsia="宋体" w:hAnsi="Arial" w:cs="Arial"/>
          <w:color w:val="000000"/>
          <w:sz w:val="23"/>
          <w:szCs w:val="23"/>
          <w:lang w:val="en-US"/>
        </w:rPr>
        <w:t>和消费贷款投放，零售小</w:t>
      </w:r>
      <w:proofErr w:type="gramStart"/>
      <w:r w:rsidRPr="0050732F">
        <w:rPr>
          <w:rFonts w:ascii="Arial" w:eastAsia="宋体" w:hAnsi="Arial" w:cs="Arial"/>
          <w:color w:val="000000"/>
          <w:sz w:val="23"/>
          <w:szCs w:val="23"/>
          <w:lang w:val="en-US"/>
        </w:rPr>
        <w:t>微贷款</w:t>
      </w:r>
      <w:proofErr w:type="gramEnd"/>
      <w:r w:rsidRPr="0050732F">
        <w:rPr>
          <w:rFonts w:ascii="Arial" w:eastAsia="宋体" w:hAnsi="Arial" w:cs="Arial"/>
          <w:color w:val="000000"/>
          <w:sz w:val="23"/>
          <w:szCs w:val="23"/>
          <w:lang w:val="en-US"/>
        </w:rPr>
        <w:t>余额</w:t>
      </w:r>
      <w:r w:rsidRPr="0050732F">
        <w:rPr>
          <w:rFonts w:ascii="Arial" w:eastAsia="宋体" w:hAnsi="Arial" w:cs="Arial"/>
          <w:color w:val="000000"/>
          <w:sz w:val="23"/>
          <w:szCs w:val="23"/>
          <w:lang w:val="en-US"/>
        </w:rPr>
        <w:t>7,093.06</w:t>
      </w:r>
      <w:r w:rsidRPr="0050732F">
        <w:rPr>
          <w:rFonts w:ascii="Arial" w:eastAsia="宋体" w:hAnsi="Arial" w:cs="Arial"/>
          <w:color w:val="000000"/>
          <w:sz w:val="23"/>
          <w:szCs w:val="23"/>
          <w:lang w:val="en-US"/>
        </w:rPr>
        <w:t>亿元，较上年末增长</w:t>
      </w:r>
      <w:r w:rsidRPr="0050732F">
        <w:rPr>
          <w:rFonts w:ascii="Arial" w:eastAsia="宋体" w:hAnsi="Arial" w:cs="Arial"/>
          <w:color w:val="000000"/>
          <w:sz w:val="23"/>
          <w:szCs w:val="23"/>
          <w:lang w:val="en-US"/>
        </w:rPr>
        <w:t>12.65%</w:t>
      </w:r>
      <w:r w:rsidRPr="0050732F">
        <w:rPr>
          <w:rFonts w:ascii="Arial" w:eastAsia="宋体" w:hAnsi="Arial" w:cs="Arial"/>
          <w:color w:val="000000"/>
          <w:sz w:val="23"/>
          <w:szCs w:val="23"/>
          <w:lang w:val="en-US"/>
        </w:rPr>
        <w:t>；消费贷款余额</w:t>
      </w:r>
      <w:r w:rsidRPr="0050732F">
        <w:rPr>
          <w:rFonts w:ascii="Arial" w:eastAsia="宋体" w:hAnsi="Arial" w:cs="Arial"/>
          <w:color w:val="000000"/>
          <w:sz w:val="23"/>
          <w:szCs w:val="23"/>
          <w:lang w:val="en-US"/>
        </w:rPr>
        <w:t>2,723.51</w:t>
      </w:r>
      <w:r w:rsidRPr="0050732F">
        <w:rPr>
          <w:rFonts w:ascii="Arial" w:eastAsia="宋体" w:hAnsi="Arial" w:cs="Arial"/>
          <w:color w:val="000000"/>
          <w:sz w:val="23"/>
          <w:szCs w:val="23"/>
          <w:lang w:val="en-US"/>
        </w:rPr>
        <w:t>亿元，较上年末增长</w:t>
      </w:r>
      <w:r w:rsidRPr="0050732F">
        <w:rPr>
          <w:rFonts w:ascii="Arial" w:eastAsia="宋体" w:hAnsi="Arial" w:cs="Arial"/>
          <w:color w:val="000000"/>
          <w:sz w:val="23"/>
          <w:szCs w:val="23"/>
          <w:lang w:val="en-US"/>
        </w:rPr>
        <w:t>34.68%</w:t>
      </w:r>
      <w:r w:rsidRPr="0050732F">
        <w:rPr>
          <w:rFonts w:ascii="Arial" w:eastAsia="宋体" w:hAnsi="Arial" w:cs="Arial"/>
          <w:color w:val="000000"/>
          <w:sz w:val="23"/>
          <w:szCs w:val="23"/>
          <w:lang w:val="en-US"/>
        </w:rPr>
        <w:t>。</w:t>
      </w:r>
      <w:r w:rsidR="00145C87" w:rsidRPr="00145C87">
        <w:rPr>
          <w:rFonts w:ascii="Arial" w:eastAsia="宋体" w:hAnsi="Arial" w:cs="Arial"/>
          <w:color w:val="000000"/>
          <w:sz w:val="23"/>
          <w:szCs w:val="23"/>
          <w:lang w:val="en-US"/>
        </w:rPr>
        <w:t>信用卡业务保持平稳，</w:t>
      </w:r>
      <w:r w:rsidR="00CF4670" w:rsidRPr="00CF4670">
        <w:rPr>
          <w:rFonts w:ascii="Arial" w:eastAsia="宋体" w:hAnsi="Arial" w:cs="Arial"/>
          <w:color w:val="000000"/>
          <w:sz w:val="23"/>
          <w:szCs w:val="23"/>
          <w:lang w:val="en-US"/>
        </w:rPr>
        <w:t>信用卡交易额</w:t>
      </w:r>
      <w:r w:rsidR="00CF4670" w:rsidRPr="00CF4670">
        <w:rPr>
          <w:rFonts w:ascii="Arial" w:eastAsia="宋体" w:hAnsi="Arial" w:cs="Arial"/>
          <w:color w:val="000000"/>
          <w:sz w:val="23"/>
          <w:szCs w:val="23"/>
          <w:lang w:val="en-US"/>
        </w:rPr>
        <w:t>23,719.81</w:t>
      </w:r>
      <w:r w:rsidR="00CF4670" w:rsidRPr="00CF4670">
        <w:rPr>
          <w:rFonts w:ascii="Arial" w:eastAsia="宋体" w:hAnsi="Arial" w:cs="Arial"/>
          <w:color w:val="000000"/>
          <w:sz w:val="23"/>
          <w:szCs w:val="23"/>
          <w:lang w:val="en-US"/>
        </w:rPr>
        <w:t>亿元，同比下降</w:t>
      </w:r>
      <w:r w:rsidR="00CF4670" w:rsidRPr="00CF4670">
        <w:rPr>
          <w:rFonts w:ascii="Arial" w:eastAsia="宋体" w:hAnsi="Arial" w:cs="Arial"/>
          <w:color w:val="000000"/>
          <w:sz w:val="23"/>
          <w:szCs w:val="23"/>
          <w:lang w:val="en-US"/>
        </w:rPr>
        <w:t>0.67%</w:t>
      </w:r>
      <w:r w:rsidR="00CF4670" w:rsidRPr="00CF4670">
        <w:rPr>
          <w:rFonts w:ascii="Arial" w:eastAsia="宋体" w:hAnsi="Arial" w:cs="Arial"/>
          <w:color w:val="000000"/>
          <w:sz w:val="23"/>
          <w:szCs w:val="23"/>
          <w:lang w:val="en-US"/>
        </w:rPr>
        <w:t>；实现信用卡利息收入</w:t>
      </w:r>
      <w:r w:rsidR="00CF4670" w:rsidRPr="00CF4670">
        <w:rPr>
          <w:rFonts w:ascii="Arial" w:eastAsia="宋体" w:hAnsi="Arial" w:cs="Arial"/>
          <w:color w:val="000000"/>
          <w:sz w:val="23"/>
          <w:szCs w:val="23"/>
          <w:lang w:val="en-US"/>
        </w:rPr>
        <w:t>313.26</w:t>
      </w:r>
      <w:r w:rsidR="00CF4670" w:rsidRPr="00CF4670">
        <w:rPr>
          <w:rFonts w:ascii="Arial" w:eastAsia="宋体" w:hAnsi="Arial" w:cs="Arial"/>
          <w:color w:val="000000"/>
          <w:sz w:val="23"/>
          <w:szCs w:val="23"/>
          <w:lang w:val="en-US"/>
        </w:rPr>
        <w:t>亿元，同比下降</w:t>
      </w:r>
      <w:r w:rsidR="00CF4670" w:rsidRPr="00CF4670">
        <w:rPr>
          <w:rFonts w:ascii="Arial" w:eastAsia="宋体" w:hAnsi="Arial" w:cs="Arial"/>
          <w:color w:val="000000"/>
          <w:sz w:val="23"/>
          <w:szCs w:val="23"/>
          <w:lang w:val="en-US"/>
        </w:rPr>
        <w:t>0.31%</w:t>
      </w:r>
      <w:r w:rsidR="00CF4670" w:rsidRPr="00CF4670">
        <w:rPr>
          <w:rFonts w:ascii="Arial" w:eastAsia="宋体" w:hAnsi="Arial" w:cs="Arial"/>
          <w:color w:val="000000"/>
          <w:sz w:val="23"/>
          <w:szCs w:val="23"/>
          <w:lang w:val="en-US"/>
        </w:rPr>
        <w:t>；实现信用卡非利息收入</w:t>
      </w:r>
      <w:r w:rsidR="00CF4670" w:rsidRPr="00CF4670">
        <w:rPr>
          <w:rFonts w:ascii="Arial" w:eastAsia="宋体" w:hAnsi="Arial" w:cs="Arial"/>
          <w:color w:val="000000"/>
          <w:sz w:val="23"/>
          <w:szCs w:val="23"/>
          <w:lang w:val="en-US"/>
        </w:rPr>
        <w:t>139.09</w:t>
      </w:r>
      <w:r w:rsidR="00CF4670" w:rsidRPr="00CF4670">
        <w:rPr>
          <w:rFonts w:ascii="Arial" w:eastAsia="宋体" w:hAnsi="Arial" w:cs="Arial"/>
          <w:color w:val="000000"/>
          <w:sz w:val="23"/>
          <w:szCs w:val="23"/>
          <w:lang w:val="en-US"/>
        </w:rPr>
        <w:t>亿元，同比下降</w:t>
      </w:r>
      <w:r w:rsidR="00CF4670" w:rsidRPr="00CF4670">
        <w:rPr>
          <w:rFonts w:ascii="Arial" w:eastAsia="宋体" w:hAnsi="Arial" w:cs="Arial"/>
          <w:color w:val="000000"/>
          <w:sz w:val="23"/>
          <w:szCs w:val="23"/>
          <w:lang w:val="en-US"/>
        </w:rPr>
        <w:t>0.83%</w:t>
      </w:r>
      <w:r w:rsidR="00CF4670" w:rsidRPr="00CF4670">
        <w:rPr>
          <w:rFonts w:ascii="Arial" w:eastAsia="宋体" w:hAnsi="Arial" w:cs="Arial"/>
          <w:color w:val="000000"/>
          <w:sz w:val="23"/>
          <w:szCs w:val="23"/>
          <w:lang w:val="en-US"/>
        </w:rPr>
        <w:t>。</w:t>
      </w:r>
    </w:p>
    <w:p w14:paraId="4AC4C4F0" w14:textId="77777777" w:rsidR="00061E17" w:rsidRPr="00CF4670" w:rsidRDefault="00061E17">
      <w:pPr>
        <w:widowControl w:val="0"/>
        <w:autoSpaceDE w:val="0"/>
        <w:autoSpaceDN w:val="0"/>
        <w:adjustRightInd w:val="0"/>
        <w:spacing w:after="0" w:line="240" w:lineRule="auto"/>
        <w:ind w:left="360"/>
        <w:jc w:val="both"/>
        <w:rPr>
          <w:rFonts w:ascii="Arial" w:eastAsia="宋体" w:hAnsi="Arial" w:cs="Arial"/>
          <w:b/>
          <w:sz w:val="23"/>
          <w:szCs w:val="23"/>
          <w:lang w:val="en-US"/>
        </w:rPr>
      </w:pPr>
    </w:p>
    <w:bookmarkEnd w:id="2"/>
    <w:p w14:paraId="73AE470A" w14:textId="6000B429" w:rsidR="00CF4670" w:rsidRPr="009432A2" w:rsidRDefault="00CF4670" w:rsidP="009432A2">
      <w:pPr>
        <w:widowControl w:val="0"/>
        <w:numPr>
          <w:ilvl w:val="0"/>
          <w:numId w:val="5"/>
        </w:numPr>
        <w:spacing w:after="0" w:line="240" w:lineRule="auto"/>
        <w:ind w:left="426" w:hanging="426"/>
        <w:jc w:val="both"/>
        <w:rPr>
          <w:rFonts w:ascii="Arial" w:eastAsia="宋体" w:hAnsi="Arial" w:cs="Arial"/>
          <w:b/>
          <w:bCs/>
          <w:sz w:val="23"/>
          <w:szCs w:val="23"/>
          <w:lang w:val="en-US"/>
        </w:rPr>
      </w:pPr>
      <w:r w:rsidRPr="00CF4670">
        <w:rPr>
          <w:rFonts w:ascii="Arial" w:eastAsia="宋体" w:hAnsi="Arial" w:cs="Arial" w:hint="eastAsia"/>
          <w:b/>
          <w:bCs/>
          <w:sz w:val="23"/>
          <w:szCs w:val="23"/>
          <w:lang w:val="en-US"/>
        </w:rPr>
        <w:t>公司金融特色更加鲜明</w:t>
      </w:r>
    </w:p>
    <w:p w14:paraId="59F31520" w14:textId="77777777" w:rsidR="0094250E" w:rsidRDefault="0094250E">
      <w:pPr>
        <w:widowControl w:val="0"/>
        <w:autoSpaceDE w:val="0"/>
        <w:autoSpaceDN w:val="0"/>
        <w:adjustRightInd w:val="0"/>
        <w:spacing w:after="0" w:line="240" w:lineRule="auto"/>
        <w:ind w:left="360"/>
        <w:jc w:val="both"/>
        <w:rPr>
          <w:rFonts w:ascii="Arial" w:eastAsia="宋体" w:hAnsi="Arial" w:cs="Arial"/>
          <w:b/>
          <w:bCs/>
          <w:color w:val="000000"/>
          <w:sz w:val="23"/>
          <w:szCs w:val="23"/>
          <w:lang w:val="en-US"/>
        </w:rPr>
      </w:pPr>
    </w:p>
    <w:p w14:paraId="56D5E118" w14:textId="7269D00C" w:rsidR="00CF4670" w:rsidRPr="009432A2" w:rsidRDefault="00CF4670">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r w:rsidRPr="009432A2">
        <w:rPr>
          <w:rFonts w:ascii="Arial" w:eastAsia="宋体" w:hAnsi="Arial" w:cs="Arial" w:hint="eastAsia"/>
          <w:b/>
          <w:bCs/>
          <w:color w:val="000000"/>
          <w:sz w:val="23"/>
          <w:szCs w:val="23"/>
          <w:lang w:val="en-US"/>
        </w:rPr>
        <w:t>持续迭代优化分层分类服务体系，调整客户结构和业务结构。</w:t>
      </w:r>
      <w:r w:rsidRPr="009432A2">
        <w:rPr>
          <w:rFonts w:ascii="Arial" w:eastAsia="宋体" w:hAnsi="Arial" w:cs="Arial"/>
          <w:color w:val="000000"/>
          <w:sz w:val="23"/>
          <w:szCs w:val="23"/>
          <w:lang w:val="en-US"/>
        </w:rPr>
        <w:t>截至报告期末，本公司公司客户总数</w:t>
      </w:r>
      <w:r w:rsidRPr="009432A2">
        <w:rPr>
          <w:rFonts w:ascii="Arial" w:eastAsia="宋体" w:hAnsi="Arial" w:cs="Arial"/>
          <w:color w:val="000000"/>
          <w:sz w:val="23"/>
          <w:szCs w:val="23"/>
          <w:lang w:val="en-US"/>
        </w:rPr>
        <w:t>264.85</w:t>
      </w:r>
      <w:r w:rsidRPr="009432A2">
        <w:rPr>
          <w:rFonts w:ascii="Arial" w:eastAsia="宋体" w:hAnsi="Arial" w:cs="Arial"/>
          <w:color w:val="000000"/>
          <w:sz w:val="23"/>
          <w:szCs w:val="23"/>
          <w:lang w:val="en-US"/>
        </w:rPr>
        <w:t>万户，较上年末增长</w:t>
      </w:r>
      <w:r w:rsidRPr="009432A2">
        <w:rPr>
          <w:rFonts w:ascii="Arial" w:eastAsia="宋体" w:hAnsi="Arial" w:cs="Arial"/>
          <w:color w:val="000000"/>
          <w:sz w:val="23"/>
          <w:szCs w:val="23"/>
          <w:lang w:val="en-US"/>
        </w:rPr>
        <w:t>4.85%</w:t>
      </w:r>
      <w:r w:rsidRPr="009432A2">
        <w:rPr>
          <w:rFonts w:ascii="Arial" w:eastAsia="宋体" w:hAnsi="Arial" w:cs="Arial"/>
          <w:color w:val="000000"/>
          <w:sz w:val="23"/>
          <w:szCs w:val="23"/>
          <w:lang w:val="en-US"/>
        </w:rPr>
        <w:t>。公司客户新开户</w:t>
      </w:r>
      <w:r w:rsidRPr="009432A2">
        <w:rPr>
          <w:rFonts w:ascii="Arial" w:eastAsia="宋体" w:hAnsi="Arial" w:cs="Arial"/>
          <w:color w:val="000000"/>
          <w:sz w:val="23"/>
          <w:szCs w:val="23"/>
          <w:lang w:val="en-US"/>
        </w:rPr>
        <w:t>22.90</w:t>
      </w:r>
      <w:r w:rsidRPr="009432A2">
        <w:rPr>
          <w:rFonts w:ascii="Arial" w:eastAsia="宋体" w:hAnsi="Arial" w:cs="Arial"/>
          <w:color w:val="000000"/>
          <w:sz w:val="23"/>
          <w:szCs w:val="23"/>
          <w:lang w:val="en-US"/>
        </w:rPr>
        <w:t>万户，贡献日均存款</w:t>
      </w:r>
      <w:r w:rsidRPr="009432A2">
        <w:rPr>
          <w:rFonts w:ascii="Arial" w:eastAsia="宋体" w:hAnsi="Arial" w:cs="Arial"/>
          <w:color w:val="000000"/>
          <w:sz w:val="23"/>
          <w:szCs w:val="23"/>
          <w:lang w:val="en-US"/>
        </w:rPr>
        <w:t>767.76</w:t>
      </w:r>
      <w:r w:rsidRPr="009432A2">
        <w:rPr>
          <w:rFonts w:ascii="Arial" w:eastAsia="宋体" w:hAnsi="Arial" w:cs="Arial"/>
          <w:color w:val="000000"/>
          <w:sz w:val="23"/>
          <w:szCs w:val="23"/>
          <w:lang w:val="en-US"/>
        </w:rPr>
        <w:t>亿元，其中，日均存款</w:t>
      </w:r>
      <w:r w:rsidRPr="009432A2">
        <w:rPr>
          <w:rFonts w:ascii="Arial" w:eastAsia="宋体" w:hAnsi="Arial" w:cs="Arial"/>
          <w:color w:val="000000"/>
          <w:sz w:val="23"/>
          <w:szCs w:val="23"/>
          <w:lang w:val="en-US"/>
        </w:rPr>
        <w:t>50</w:t>
      </w:r>
      <w:r w:rsidRPr="009432A2">
        <w:rPr>
          <w:rFonts w:ascii="Arial" w:eastAsia="宋体" w:hAnsi="Arial" w:cs="Arial"/>
          <w:color w:val="000000"/>
          <w:sz w:val="23"/>
          <w:szCs w:val="23"/>
          <w:lang w:val="en-US"/>
        </w:rPr>
        <w:t>万元以上的新开户</w:t>
      </w:r>
      <w:r w:rsidRPr="009432A2">
        <w:rPr>
          <w:rFonts w:ascii="Arial" w:eastAsia="宋体" w:hAnsi="Arial" w:cs="Arial"/>
          <w:color w:val="000000"/>
          <w:sz w:val="23"/>
          <w:szCs w:val="23"/>
          <w:lang w:val="en-US"/>
        </w:rPr>
        <w:t>1.02</w:t>
      </w:r>
      <w:r w:rsidRPr="009432A2">
        <w:rPr>
          <w:rFonts w:ascii="Arial" w:eastAsia="宋体" w:hAnsi="Arial" w:cs="Arial"/>
          <w:color w:val="000000"/>
          <w:sz w:val="23"/>
          <w:szCs w:val="23"/>
          <w:lang w:val="en-US"/>
        </w:rPr>
        <w:t>万户。</w:t>
      </w:r>
      <w:r w:rsidRPr="00CF4670">
        <w:rPr>
          <w:rFonts w:ascii="Arial" w:eastAsia="宋体" w:hAnsi="Arial" w:cs="Arial"/>
          <w:color w:val="000000"/>
          <w:sz w:val="23"/>
          <w:szCs w:val="23"/>
          <w:lang w:val="en-US"/>
        </w:rPr>
        <w:t>本公司公司客户融资总量（</w:t>
      </w:r>
      <w:r w:rsidRPr="00CF4670">
        <w:rPr>
          <w:rFonts w:ascii="Arial" w:eastAsia="宋体" w:hAnsi="Arial" w:cs="Arial"/>
          <w:color w:val="000000"/>
          <w:sz w:val="23"/>
          <w:szCs w:val="23"/>
          <w:lang w:val="en-US"/>
        </w:rPr>
        <w:t>FPA</w:t>
      </w:r>
      <w:r w:rsidRPr="00CF4670">
        <w:rPr>
          <w:rFonts w:ascii="Arial" w:eastAsia="宋体" w:hAnsi="Arial" w:cs="Arial"/>
          <w:color w:val="000000"/>
          <w:sz w:val="23"/>
          <w:szCs w:val="23"/>
          <w:lang w:val="en-US"/>
        </w:rPr>
        <w:t>）余额</w:t>
      </w:r>
      <w:r w:rsidRPr="00CF4670">
        <w:rPr>
          <w:rFonts w:ascii="Arial" w:eastAsia="宋体" w:hAnsi="Arial" w:cs="Arial"/>
          <w:color w:val="000000"/>
          <w:sz w:val="23"/>
          <w:szCs w:val="23"/>
          <w:lang w:val="en-US"/>
        </w:rPr>
        <w:t>54,977.00</w:t>
      </w:r>
      <w:r w:rsidRPr="00CF4670">
        <w:rPr>
          <w:rFonts w:ascii="Arial" w:eastAsia="宋体" w:hAnsi="Arial" w:cs="Arial"/>
          <w:color w:val="000000"/>
          <w:sz w:val="23"/>
          <w:szCs w:val="23"/>
          <w:lang w:val="en-US"/>
        </w:rPr>
        <w:t>亿元</w:t>
      </w:r>
      <w:r w:rsidRPr="00CF4670">
        <w:rPr>
          <w:rStyle w:val="af"/>
          <w:rFonts w:ascii="Arial" w:eastAsia="宋体" w:hAnsi="Arial" w:cs="Arial"/>
          <w:color w:val="000000"/>
          <w:sz w:val="23"/>
          <w:szCs w:val="23"/>
          <w:lang w:val="en-US"/>
        </w:rPr>
        <w:footnoteReference w:id="1"/>
      </w:r>
      <w:r w:rsidRPr="00CF4670">
        <w:rPr>
          <w:rFonts w:ascii="Arial" w:eastAsia="宋体" w:hAnsi="Arial" w:cs="Arial"/>
          <w:color w:val="000000"/>
          <w:sz w:val="23"/>
          <w:szCs w:val="23"/>
          <w:lang w:val="en-US"/>
        </w:rPr>
        <w:t>，较年初增加</w:t>
      </w:r>
      <w:r w:rsidRPr="00CF4670">
        <w:rPr>
          <w:rFonts w:ascii="Arial" w:eastAsia="宋体" w:hAnsi="Arial" w:cs="Arial"/>
          <w:color w:val="000000"/>
          <w:sz w:val="23"/>
          <w:szCs w:val="23"/>
          <w:lang w:val="en-US"/>
        </w:rPr>
        <w:t>4,095.73</w:t>
      </w:r>
      <w:r w:rsidRPr="00CF4670">
        <w:rPr>
          <w:rFonts w:ascii="Arial" w:eastAsia="宋体" w:hAnsi="Arial" w:cs="Arial"/>
          <w:color w:val="000000"/>
          <w:sz w:val="23"/>
          <w:szCs w:val="23"/>
          <w:lang w:val="en-US"/>
        </w:rPr>
        <w:t>亿元</w:t>
      </w:r>
      <w:r w:rsidRPr="00CF4670">
        <w:rPr>
          <w:rFonts w:ascii="Arial" w:eastAsia="宋体" w:hAnsi="Arial" w:cs="Arial" w:hint="eastAsia"/>
          <w:color w:val="000000"/>
          <w:sz w:val="23"/>
          <w:szCs w:val="23"/>
          <w:lang w:val="en-US"/>
        </w:rPr>
        <w:t>。</w:t>
      </w:r>
      <w:r w:rsidRPr="00CF4670">
        <w:rPr>
          <w:rFonts w:ascii="Arial" w:eastAsia="宋体" w:hAnsi="Arial" w:cs="Arial"/>
          <w:color w:val="000000"/>
          <w:sz w:val="23"/>
          <w:szCs w:val="23"/>
          <w:lang w:val="en-US"/>
        </w:rPr>
        <w:t>公司客户存款余额</w:t>
      </w:r>
      <w:r w:rsidRPr="00CF4670">
        <w:rPr>
          <w:rFonts w:ascii="Arial" w:eastAsia="宋体" w:hAnsi="Arial" w:cs="Arial"/>
          <w:color w:val="000000"/>
          <w:sz w:val="23"/>
          <w:szCs w:val="23"/>
          <w:lang w:val="en-US"/>
        </w:rPr>
        <w:t>45,997.71</w:t>
      </w:r>
      <w:r w:rsidRPr="00CF4670">
        <w:rPr>
          <w:rFonts w:ascii="Arial" w:eastAsia="宋体" w:hAnsi="Arial" w:cs="Arial"/>
          <w:color w:val="000000"/>
          <w:sz w:val="23"/>
          <w:szCs w:val="23"/>
          <w:lang w:val="en-US"/>
        </w:rPr>
        <w:t>亿元，较上年末增长</w:t>
      </w:r>
      <w:r w:rsidRPr="00CF4670">
        <w:rPr>
          <w:rFonts w:ascii="Arial" w:eastAsia="宋体" w:hAnsi="Arial" w:cs="Arial"/>
          <w:color w:val="000000"/>
          <w:sz w:val="23"/>
          <w:szCs w:val="23"/>
          <w:lang w:val="en-US"/>
        </w:rPr>
        <w:t>6.51%</w:t>
      </w:r>
      <w:r w:rsidRPr="00CF4670">
        <w:rPr>
          <w:rFonts w:ascii="Arial" w:eastAsia="宋体" w:hAnsi="Arial" w:cs="Arial"/>
          <w:color w:val="000000"/>
          <w:sz w:val="23"/>
          <w:szCs w:val="23"/>
          <w:lang w:val="en-US"/>
        </w:rPr>
        <w:t>；日均余额</w:t>
      </w:r>
      <w:r w:rsidRPr="00CF4670">
        <w:rPr>
          <w:rFonts w:ascii="Arial" w:eastAsia="宋体" w:hAnsi="Arial" w:cs="Arial"/>
          <w:color w:val="000000"/>
          <w:sz w:val="23"/>
          <w:szCs w:val="23"/>
          <w:lang w:val="en-US"/>
        </w:rPr>
        <w:t>44,989.11</w:t>
      </w:r>
      <w:r w:rsidRPr="00CF4670">
        <w:rPr>
          <w:rFonts w:ascii="Arial" w:eastAsia="宋体" w:hAnsi="Arial" w:cs="Arial"/>
          <w:color w:val="000000"/>
          <w:sz w:val="23"/>
          <w:szCs w:val="23"/>
          <w:lang w:val="en-US"/>
        </w:rPr>
        <w:t>亿元，较上年全年增长</w:t>
      </w:r>
      <w:r w:rsidRPr="00CF4670">
        <w:rPr>
          <w:rFonts w:ascii="Arial" w:eastAsia="宋体" w:hAnsi="Arial" w:cs="Arial"/>
          <w:color w:val="000000"/>
          <w:sz w:val="23"/>
          <w:szCs w:val="23"/>
          <w:lang w:val="en-US"/>
        </w:rPr>
        <w:t>5.63%</w:t>
      </w:r>
      <w:r w:rsidRPr="00CF4670">
        <w:rPr>
          <w:rFonts w:ascii="Arial" w:eastAsia="宋体" w:hAnsi="Arial" w:cs="Arial"/>
          <w:color w:val="000000"/>
          <w:sz w:val="23"/>
          <w:szCs w:val="23"/>
          <w:lang w:val="en-US"/>
        </w:rPr>
        <w:t>。</w:t>
      </w:r>
    </w:p>
    <w:p w14:paraId="1A26F21E" w14:textId="77777777" w:rsidR="00CF4670" w:rsidRPr="00CF4670" w:rsidRDefault="00CF4670">
      <w:pPr>
        <w:widowControl w:val="0"/>
        <w:autoSpaceDE w:val="0"/>
        <w:autoSpaceDN w:val="0"/>
        <w:adjustRightInd w:val="0"/>
        <w:spacing w:after="0" w:line="240" w:lineRule="auto"/>
        <w:ind w:left="360"/>
        <w:jc w:val="both"/>
        <w:rPr>
          <w:rFonts w:ascii="Arial" w:eastAsia="宋体" w:hAnsi="Arial" w:cs="Arial"/>
          <w:b/>
          <w:bCs/>
          <w:sz w:val="23"/>
          <w:szCs w:val="23"/>
          <w:lang w:val="en-US"/>
        </w:rPr>
      </w:pPr>
    </w:p>
    <w:p w14:paraId="19B12650" w14:textId="40DBBF46" w:rsidR="00CF4670" w:rsidRPr="00CF4670" w:rsidRDefault="00CF4670">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r w:rsidRPr="009432A2">
        <w:rPr>
          <w:rFonts w:ascii="Arial" w:eastAsia="宋体" w:hAnsi="Arial" w:cs="Arial" w:hint="eastAsia"/>
          <w:b/>
          <w:bCs/>
          <w:color w:val="000000"/>
          <w:sz w:val="23"/>
          <w:szCs w:val="23"/>
          <w:lang w:val="en-US"/>
        </w:rPr>
        <w:t>持续打造特色优势，积极有效服务客户。</w:t>
      </w:r>
      <w:r w:rsidRPr="009432A2">
        <w:rPr>
          <w:rFonts w:ascii="Arial" w:eastAsia="宋体" w:hAnsi="Arial" w:cs="Arial" w:hint="eastAsia"/>
          <w:color w:val="000000"/>
          <w:sz w:val="23"/>
          <w:szCs w:val="23"/>
          <w:lang w:val="en-US"/>
        </w:rPr>
        <w:t>交易银行业务方面</w:t>
      </w:r>
      <w:r w:rsidRPr="00CF4670">
        <w:rPr>
          <w:rFonts w:ascii="Arial" w:eastAsia="宋体" w:hAnsi="Arial" w:cs="Arial" w:hint="eastAsia"/>
          <w:color w:val="000000"/>
          <w:sz w:val="23"/>
          <w:szCs w:val="23"/>
          <w:lang w:val="en-US"/>
        </w:rPr>
        <w:t>，截</w:t>
      </w:r>
      <w:r w:rsidRPr="00CF4670">
        <w:rPr>
          <w:rFonts w:ascii="Arial" w:eastAsia="宋体" w:hAnsi="Arial" w:cs="Arial"/>
          <w:color w:val="000000"/>
          <w:sz w:val="23"/>
          <w:szCs w:val="23"/>
          <w:lang w:val="en-US"/>
        </w:rPr>
        <w:t>至报告期末，财资管理</w:t>
      </w:r>
      <w:proofErr w:type="gramStart"/>
      <w:r w:rsidRPr="00CF4670">
        <w:rPr>
          <w:rFonts w:ascii="Arial" w:eastAsia="宋体" w:hAnsi="Arial" w:cs="Arial"/>
          <w:color w:val="000000"/>
          <w:sz w:val="23"/>
          <w:szCs w:val="23"/>
          <w:lang w:val="en-US"/>
        </w:rPr>
        <w:t>云服务</w:t>
      </w:r>
      <w:proofErr w:type="gramEnd"/>
      <w:r w:rsidRPr="00CF4670">
        <w:rPr>
          <w:rFonts w:ascii="Arial" w:eastAsia="宋体" w:hAnsi="Arial" w:cs="Arial"/>
          <w:color w:val="000000"/>
          <w:sz w:val="23"/>
          <w:szCs w:val="23"/>
          <w:lang w:val="en-US"/>
        </w:rPr>
        <w:t>客户数</w:t>
      </w:r>
      <w:r w:rsidRPr="00CF4670">
        <w:rPr>
          <w:rFonts w:ascii="Arial" w:eastAsia="宋体" w:hAnsi="Arial" w:cs="Arial"/>
          <w:color w:val="000000"/>
          <w:sz w:val="23"/>
          <w:szCs w:val="23"/>
          <w:lang w:val="en-US"/>
        </w:rPr>
        <w:t>25.48</w:t>
      </w:r>
      <w:r w:rsidRPr="00CF4670">
        <w:rPr>
          <w:rFonts w:ascii="Arial" w:eastAsia="宋体" w:hAnsi="Arial" w:cs="Arial"/>
          <w:color w:val="000000"/>
          <w:sz w:val="23"/>
          <w:szCs w:val="23"/>
          <w:lang w:val="en-US"/>
        </w:rPr>
        <w:t>万户，较上年末增长</w:t>
      </w:r>
      <w:r w:rsidRPr="00CF4670">
        <w:rPr>
          <w:rFonts w:ascii="Arial" w:eastAsia="宋体" w:hAnsi="Arial" w:cs="Arial"/>
          <w:color w:val="000000"/>
          <w:sz w:val="23"/>
          <w:szCs w:val="23"/>
          <w:lang w:val="en-US"/>
        </w:rPr>
        <w:t>41.34%</w:t>
      </w:r>
      <w:r w:rsidRPr="00CF4670">
        <w:rPr>
          <w:rFonts w:ascii="Arial" w:eastAsia="宋体" w:hAnsi="Arial" w:cs="Arial"/>
          <w:color w:val="000000"/>
          <w:sz w:val="23"/>
          <w:szCs w:val="23"/>
          <w:lang w:val="en-US"/>
        </w:rPr>
        <w:t>。本公司</w:t>
      </w:r>
      <w:proofErr w:type="gramStart"/>
      <w:r w:rsidRPr="00CF4670">
        <w:rPr>
          <w:rFonts w:ascii="Arial" w:eastAsia="宋体" w:hAnsi="Arial" w:cs="Arial"/>
          <w:color w:val="000000"/>
          <w:sz w:val="23"/>
          <w:szCs w:val="23"/>
          <w:lang w:val="en-US"/>
        </w:rPr>
        <w:t>函证类</w:t>
      </w:r>
      <w:proofErr w:type="gramEnd"/>
      <w:r w:rsidRPr="00CF4670">
        <w:rPr>
          <w:rFonts w:ascii="Arial" w:eastAsia="宋体" w:hAnsi="Arial" w:cs="Arial"/>
          <w:color w:val="000000"/>
          <w:sz w:val="23"/>
          <w:szCs w:val="23"/>
          <w:lang w:val="en-US"/>
        </w:rPr>
        <w:t>业务交易金额</w:t>
      </w:r>
      <w:r w:rsidRPr="00CF4670">
        <w:rPr>
          <w:rFonts w:ascii="Arial" w:eastAsia="宋体" w:hAnsi="Arial" w:cs="Arial"/>
          <w:color w:val="000000"/>
          <w:sz w:val="23"/>
          <w:szCs w:val="23"/>
          <w:lang w:val="en-US"/>
        </w:rPr>
        <w:t>2,504.64</w:t>
      </w:r>
      <w:r w:rsidRPr="00CF4670">
        <w:rPr>
          <w:rFonts w:ascii="Arial" w:eastAsia="宋体" w:hAnsi="Arial" w:cs="Arial"/>
          <w:color w:val="000000"/>
          <w:sz w:val="23"/>
          <w:szCs w:val="23"/>
          <w:lang w:val="en-US"/>
        </w:rPr>
        <w:t>亿元，同比增长</w:t>
      </w:r>
      <w:r w:rsidRPr="00CF4670">
        <w:rPr>
          <w:rFonts w:ascii="Arial" w:eastAsia="宋体" w:hAnsi="Arial" w:cs="Arial"/>
          <w:color w:val="000000"/>
          <w:sz w:val="23"/>
          <w:szCs w:val="23"/>
          <w:lang w:val="en-US"/>
        </w:rPr>
        <w:t>59.04%</w:t>
      </w:r>
      <w:r w:rsidRPr="00CF4670">
        <w:rPr>
          <w:rFonts w:ascii="Arial" w:eastAsia="宋体" w:hAnsi="Arial" w:cs="Arial"/>
          <w:color w:val="000000"/>
          <w:sz w:val="23"/>
          <w:szCs w:val="23"/>
          <w:lang w:val="en-US"/>
        </w:rPr>
        <w:t>；国内贸易融资业务量</w:t>
      </w:r>
      <w:r w:rsidRPr="00CF4670">
        <w:rPr>
          <w:rFonts w:ascii="Arial" w:eastAsia="宋体" w:hAnsi="Arial" w:cs="Arial"/>
          <w:color w:val="000000"/>
          <w:sz w:val="23"/>
          <w:szCs w:val="23"/>
          <w:lang w:val="en-US"/>
        </w:rPr>
        <w:t>5,846.47</w:t>
      </w:r>
      <w:r w:rsidRPr="00CF4670">
        <w:rPr>
          <w:rFonts w:ascii="Arial" w:eastAsia="宋体" w:hAnsi="Arial" w:cs="Arial"/>
          <w:color w:val="000000"/>
          <w:sz w:val="23"/>
          <w:szCs w:val="23"/>
          <w:lang w:val="en-US"/>
        </w:rPr>
        <w:t>亿元，同比增长</w:t>
      </w:r>
      <w:r w:rsidRPr="00CF4670">
        <w:rPr>
          <w:rFonts w:ascii="Arial" w:eastAsia="宋体" w:hAnsi="Arial" w:cs="Arial"/>
          <w:color w:val="000000"/>
          <w:sz w:val="23"/>
          <w:szCs w:val="23"/>
          <w:lang w:val="en-US"/>
        </w:rPr>
        <w:t>56.17%</w:t>
      </w:r>
      <w:r w:rsidRPr="00CF4670">
        <w:rPr>
          <w:rFonts w:ascii="Arial" w:eastAsia="宋体" w:hAnsi="Arial" w:cs="Arial" w:hint="eastAsia"/>
          <w:color w:val="000000"/>
          <w:sz w:val="23"/>
          <w:szCs w:val="23"/>
          <w:lang w:val="en-US"/>
        </w:rPr>
        <w:t>；跨境金融业务方面，</w:t>
      </w:r>
      <w:r w:rsidRPr="00CF4670">
        <w:rPr>
          <w:rFonts w:ascii="Arial" w:eastAsia="宋体" w:hAnsi="Arial" w:cs="Arial"/>
          <w:color w:val="000000"/>
          <w:sz w:val="23"/>
          <w:szCs w:val="23"/>
          <w:lang w:val="en-US"/>
        </w:rPr>
        <w:t>本公司实现对公货物贸易涉外收支业务量</w:t>
      </w:r>
      <w:r w:rsidRPr="00CF4670">
        <w:rPr>
          <w:rFonts w:ascii="Arial" w:eastAsia="宋体" w:hAnsi="Arial" w:cs="Arial"/>
          <w:color w:val="000000"/>
          <w:sz w:val="23"/>
          <w:szCs w:val="23"/>
          <w:lang w:val="en-US"/>
        </w:rPr>
        <w:t>813.03</w:t>
      </w:r>
      <w:r w:rsidRPr="00CF4670">
        <w:rPr>
          <w:rFonts w:ascii="Arial" w:eastAsia="宋体" w:hAnsi="Arial" w:cs="Arial"/>
          <w:color w:val="000000"/>
          <w:sz w:val="23"/>
          <w:szCs w:val="23"/>
          <w:lang w:val="en-US"/>
        </w:rPr>
        <w:t>亿美元，同比增长</w:t>
      </w:r>
      <w:r w:rsidRPr="00CF4670">
        <w:rPr>
          <w:rFonts w:ascii="Arial" w:eastAsia="宋体" w:hAnsi="Arial" w:cs="Arial"/>
          <w:color w:val="000000"/>
          <w:sz w:val="23"/>
          <w:szCs w:val="23"/>
          <w:lang w:val="en-US"/>
        </w:rPr>
        <w:t>10.45%</w:t>
      </w:r>
      <w:r w:rsidRPr="00CF4670">
        <w:rPr>
          <w:rFonts w:ascii="Arial" w:eastAsia="宋体" w:hAnsi="Arial" w:cs="Arial" w:hint="eastAsia"/>
          <w:color w:val="000000"/>
          <w:sz w:val="23"/>
          <w:szCs w:val="23"/>
          <w:lang w:val="en-US"/>
        </w:rPr>
        <w:t>；供应</w:t>
      </w:r>
      <w:proofErr w:type="gramStart"/>
      <w:r w:rsidRPr="00CF4670">
        <w:rPr>
          <w:rFonts w:ascii="Arial" w:eastAsia="宋体" w:hAnsi="Arial" w:cs="Arial" w:hint="eastAsia"/>
          <w:color w:val="000000"/>
          <w:sz w:val="23"/>
          <w:szCs w:val="23"/>
          <w:lang w:val="en-US"/>
        </w:rPr>
        <w:t>链金融</w:t>
      </w:r>
      <w:proofErr w:type="gramEnd"/>
      <w:r w:rsidRPr="00CF4670">
        <w:rPr>
          <w:rFonts w:ascii="Arial" w:eastAsia="宋体" w:hAnsi="Arial" w:cs="Arial" w:hint="eastAsia"/>
          <w:color w:val="000000"/>
          <w:sz w:val="23"/>
          <w:szCs w:val="23"/>
          <w:lang w:val="en-US"/>
        </w:rPr>
        <w:t>业务方面，</w:t>
      </w:r>
      <w:r w:rsidRPr="00CF4670">
        <w:rPr>
          <w:rFonts w:ascii="Arial" w:eastAsia="宋体" w:hAnsi="Arial" w:cs="Arial"/>
          <w:color w:val="000000"/>
          <w:sz w:val="23"/>
          <w:szCs w:val="23"/>
          <w:lang w:val="en-US"/>
        </w:rPr>
        <w:t>本公司累计推动</w:t>
      </w:r>
      <w:r w:rsidRPr="00CF4670">
        <w:rPr>
          <w:rFonts w:ascii="Arial" w:eastAsia="宋体" w:hAnsi="Arial" w:cs="Arial"/>
          <w:color w:val="000000"/>
          <w:sz w:val="23"/>
          <w:szCs w:val="23"/>
          <w:lang w:val="en-US"/>
        </w:rPr>
        <w:t>261</w:t>
      </w:r>
      <w:r w:rsidRPr="00CF4670">
        <w:rPr>
          <w:rFonts w:ascii="Arial" w:eastAsia="宋体" w:hAnsi="Arial" w:cs="Arial"/>
          <w:color w:val="000000"/>
          <w:sz w:val="23"/>
          <w:szCs w:val="23"/>
          <w:lang w:val="en-US"/>
        </w:rPr>
        <w:t>个</w:t>
      </w:r>
      <w:r w:rsidR="00EA22A2">
        <w:rPr>
          <w:rFonts w:ascii="Arial" w:eastAsia="宋体" w:hAnsi="Arial" w:cs="Arial" w:hint="eastAsia"/>
          <w:color w:val="000000"/>
          <w:sz w:val="23"/>
          <w:szCs w:val="23"/>
          <w:lang w:val="en-US"/>
        </w:rPr>
        <w:t>“</w:t>
      </w:r>
      <w:r w:rsidR="00EA22A2" w:rsidRPr="00CF4670">
        <w:rPr>
          <w:rFonts w:ascii="Arial" w:eastAsia="宋体" w:hAnsi="Arial" w:cs="Arial"/>
          <w:color w:val="000000"/>
          <w:sz w:val="23"/>
          <w:szCs w:val="23"/>
          <w:lang w:val="en-US"/>
        </w:rPr>
        <w:t>全行服务一家</w:t>
      </w:r>
      <w:r w:rsidR="00EA22A2">
        <w:rPr>
          <w:rFonts w:ascii="Arial" w:eastAsia="宋体" w:hAnsi="Arial" w:cs="Arial" w:hint="eastAsia"/>
          <w:color w:val="000000"/>
          <w:sz w:val="23"/>
          <w:szCs w:val="23"/>
          <w:lang w:val="en-US"/>
        </w:rPr>
        <w:t>”</w:t>
      </w:r>
      <w:r w:rsidRPr="00CF4670">
        <w:rPr>
          <w:rFonts w:ascii="Arial" w:eastAsia="宋体" w:hAnsi="Arial" w:cs="Arial"/>
          <w:color w:val="000000"/>
          <w:sz w:val="23"/>
          <w:szCs w:val="23"/>
          <w:lang w:val="en-US"/>
        </w:rPr>
        <w:t>项目，延伸服务</w:t>
      </w:r>
      <w:r w:rsidRPr="00CF4670">
        <w:rPr>
          <w:rFonts w:ascii="Arial" w:eastAsia="宋体" w:hAnsi="Arial" w:cs="Arial"/>
          <w:color w:val="000000"/>
          <w:sz w:val="23"/>
          <w:szCs w:val="23"/>
          <w:lang w:val="en-US"/>
        </w:rPr>
        <w:t>28,271</w:t>
      </w:r>
      <w:r w:rsidRPr="00CF4670">
        <w:rPr>
          <w:rFonts w:ascii="Arial" w:eastAsia="宋体" w:hAnsi="Arial" w:cs="Arial"/>
          <w:color w:val="000000"/>
          <w:sz w:val="23"/>
          <w:szCs w:val="23"/>
          <w:lang w:val="en-US"/>
        </w:rPr>
        <w:t>家中小企业，为其中</w:t>
      </w:r>
      <w:r w:rsidRPr="00CF4670">
        <w:rPr>
          <w:rFonts w:ascii="Arial" w:eastAsia="宋体" w:hAnsi="Arial" w:cs="Arial"/>
          <w:color w:val="000000"/>
          <w:sz w:val="23"/>
          <w:szCs w:val="23"/>
          <w:lang w:val="en-US"/>
        </w:rPr>
        <w:t>23,783</w:t>
      </w:r>
      <w:r w:rsidRPr="00CF4670">
        <w:rPr>
          <w:rFonts w:ascii="Arial" w:eastAsia="宋体" w:hAnsi="Arial" w:cs="Arial"/>
          <w:color w:val="000000"/>
          <w:sz w:val="23"/>
          <w:szCs w:val="23"/>
          <w:lang w:val="en-US"/>
        </w:rPr>
        <w:t>家企业提供了融资支持，累计发放贷款金额</w:t>
      </w:r>
      <w:r w:rsidRPr="00CF4670">
        <w:rPr>
          <w:rFonts w:ascii="Arial" w:eastAsia="宋体" w:hAnsi="Arial" w:cs="Arial"/>
          <w:color w:val="000000"/>
          <w:sz w:val="23"/>
          <w:szCs w:val="23"/>
          <w:lang w:val="en-US"/>
        </w:rPr>
        <w:t>3,131.98</w:t>
      </w:r>
      <w:r w:rsidRPr="00CF4670">
        <w:rPr>
          <w:rFonts w:ascii="Arial" w:eastAsia="宋体" w:hAnsi="Arial" w:cs="Arial"/>
          <w:color w:val="000000"/>
          <w:sz w:val="23"/>
          <w:szCs w:val="23"/>
          <w:lang w:val="en-US"/>
        </w:rPr>
        <w:t>亿元。</w:t>
      </w:r>
    </w:p>
    <w:p w14:paraId="6DFC332E" w14:textId="77777777" w:rsidR="00CF4670" w:rsidRPr="00CF4670" w:rsidRDefault="00CF4670">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p>
    <w:p w14:paraId="28D99502" w14:textId="5124B4D5" w:rsidR="00CF4670" w:rsidRPr="00CF4670" w:rsidRDefault="00CF4670" w:rsidP="009432A2">
      <w:pPr>
        <w:widowControl w:val="0"/>
        <w:numPr>
          <w:ilvl w:val="0"/>
          <w:numId w:val="5"/>
        </w:numPr>
        <w:spacing w:after="0" w:line="240" w:lineRule="auto"/>
        <w:ind w:left="426" w:hanging="426"/>
        <w:jc w:val="both"/>
        <w:rPr>
          <w:rFonts w:ascii="Arial" w:eastAsia="宋体" w:hAnsi="Arial" w:cs="Arial"/>
          <w:b/>
          <w:sz w:val="23"/>
          <w:szCs w:val="23"/>
          <w:lang w:val="en-US"/>
        </w:rPr>
      </w:pPr>
      <w:bookmarkStart w:id="3" w:name="_Hlk79674593"/>
      <w:r w:rsidRPr="00CF4670">
        <w:rPr>
          <w:rFonts w:ascii="Arial" w:eastAsia="宋体" w:hAnsi="Arial" w:cs="Arial" w:hint="eastAsia"/>
          <w:b/>
          <w:bCs/>
          <w:kern w:val="2"/>
          <w:sz w:val="23"/>
          <w:szCs w:val="23"/>
          <w:lang w:val="en-US"/>
        </w:rPr>
        <w:t>投</w:t>
      </w:r>
      <w:proofErr w:type="gramStart"/>
      <w:r w:rsidRPr="00CF4670">
        <w:rPr>
          <w:rFonts w:ascii="Arial" w:eastAsia="宋体" w:hAnsi="Arial" w:cs="Arial" w:hint="eastAsia"/>
          <w:b/>
          <w:bCs/>
          <w:kern w:val="2"/>
          <w:sz w:val="23"/>
          <w:szCs w:val="23"/>
          <w:lang w:val="en-US"/>
        </w:rPr>
        <w:t>金业务</w:t>
      </w:r>
      <w:proofErr w:type="gramEnd"/>
      <w:r w:rsidRPr="00CF4670">
        <w:rPr>
          <w:rFonts w:ascii="Arial" w:eastAsia="宋体" w:hAnsi="Arial" w:cs="Arial" w:hint="eastAsia"/>
          <w:b/>
          <w:bCs/>
          <w:kern w:val="2"/>
          <w:sz w:val="23"/>
          <w:szCs w:val="23"/>
          <w:lang w:val="en-US"/>
        </w:rPr>
        <w:t>专业化能力提升</w:t>
      </w:r>
      <w:bookmarkStart w:id="4" w:name="_Hlk17312022"/>
    </w:p>
    <w:p w14:paraId="2D625B2F" w14:textId="77777777" w:rsidR="0094250E" w:rsidRDefault="0094250E" w:rsidP="00CF4670">
      <w:pPr>
        <w:widowControl w:val="0"/>
        <w:autoSpaceDE w:val="0"/>
        <w:autoSpaceDN w:val="0"/>
        <w:adjustRightInd w:val="0"/>
        <w:spacing w:after="0" w:line="240" w:lineRule="auto"/>
        <w:ind w:left="360"/>
        <w:jc w:val="both"/>
        <w:rPr>
          <w:rFonts w:ascii="Arial" w:eastAsia="宋体" w:hAnsi="Arial" w:cs="Arial"/>
          <w:sz w:val="23"/>
          <w:szCs w:val="23"/>
        </w:rPr>
      </w:pPr>
    </w:p>
    <w:p w14:paraId="13BD56FD" w14:textId="1DEE18CC" w:rsidR="00CF4670" w:rsidRPr="00CF4670" w:rsidRDefault="0094250E" w:rsidP="00CF4670">
      <w:pPr>
        <w:widowControl w:val="0"/>
        <w:autoSpaceDE w:val="0"/>
        <w:autoSpaceDN w:val="0"/>
        <w:adjustRightInd w:val="0"/>
        <w:spacing w:after="0" w:line="240" w:lineRule="auto"/>
        <w:ind w:left="360"/>
        <w:jc w:val="both"/>
        <w:rPr>
          <w:rFonts w:ascii="Arial" w:eastAsia="宋体" w:hAnsi="Arial" w:cs="Arial"/>
          <w:b/>
          <w:bCs/>
          <w:sz w:val="23"/>
          <w:szCs w:val="23"/>
          <w:lang w:val="en-US"/>
        </w:rPr>
      </w:pPr>
      <w:r w:rsidRPr="00F92F42">
        <w:rPr>
          <w:rFonts w:ascii="Arial" w:eastAsia="宋体" w:hAnsi="Arial" w:cs="Arial" w:hint="eastAsia"/>
          <w:sz w:val="23"/>
          <w:szCs w:val="23"/>
        </w:rPr>
        <w:t>本公司</w:t>
      </w:r>
      <w:r w:rsidR="00CF4670" w:rsidRPr="00F92F42">
        <w:rPr>
          <w:rFonts w:ascii="Arial" w:eastAsia="宋体" w:hAnsi="Arial" w:cs="Arial" w:hint="eastAsia"/>
          <w:sz w:val="23"/>
          <w:szCs w:val="23"/>
        </w:rPr>
        <w:t>不断提升债券承销、并购金融等业务能力，金融市场业务自营投</w:t>
      </w:r>
      <w:proofErr w:type="gramStart"/>
      <w:r w:rsidR="00CF4670" w:rsidRPr="00F92F42">
        <w:rPr>
          <w:rFonts w:ascii="Arial" w:eastAsia="宋体" w:hAnsi="Arial" w:cs="Arial" w:hint="eastAsia"/>
          <w:sz w:val="23"/>
          <w:szCs w:val="23"/>
        </w:rPr>
        <w:t>研</w:t>
      </w:r>
      <w:proofErr w:type="gramEnd"/>
      <w:r w:rsidR="00CF4670" w:rsidRPr="00F92F42">
        <w:rPr>
          <w:rFonts w:ascii="Arial" w:eastAsia="宋体" w:hAnsi="Arial" w:cs="Arial" w:hint="eastAsia"/>
          <w:sz w:val="23"/>
          <w:szCs w:val="23"/>
        </w:rPr>
        <w:t>体系不断完善，对客业务优势进一步巩固。</w:t>
      </w:r>
      <w:r w:rsidR="00CF4670" w:rsidRPr="0094250E">
        <w:rPr>
          <w:rFonts w:ascii="Arial" w:eastAsia="宋体" w:hAnsi="Arial" w:cs="Arial" w:hint="eastAsia"/>
          <w:sz w:val="23"/>
          <w:szCs w:val="23"/>
        </w:rPr>
        <w:t>投行</w:t>
      </w:r>
      <w:r w:rsidR="00CF4670" w:rsidRPr="009432A2">
        <w:rPr>
          <w:rFonts w:ascii="Arial" w:eastAsia="宋体" w:hAnsi="Arial" w:cs="Arial" w:hint="eastAsia"/>
          <w:sz w:val="23"/>
          <w:szCs w:val="23"/>
        </w:rPr>
        <w:t>业务方面，本公司主承销债务融资工具</w:t>
      </w:r>
      <w:r w:rsidR="00CF4670" w:rsidRPr="009432A2">
        <w:rPr>
          <w:rFonts w:ascii="Arial" w:eastAsia="宋体" w:hAnsi="Arial" w:cs="Arial"/>
          <w:sz w:val="23"/>
          <w:szCs w:val="23"/>
        </w:rPr>
        <w:t>3,214.64</w:t>
      </w:r>
      <w:r w:rsidR="00CF4670" w:rsidRPr="009432A2">
        <w:rPr>
          <w:rFonts w:ascii="Arial" w:eastAsia="宋体" w:hAnsi="Arial" w:cs="Arial" w:hint="eastAsia"/>
          <w:sz w:val="23"/>
          <w:szCs w:val="23"/>
        </w:rPr>
        <w:t>亿元，同业第三（中国银行间市场交易商协会数据），同比增长</w:t>
      </w:r>
      <w:r w:rsidR="00CF4670" w:rsidRPr="009432A2">
        <w:rPr>
          <w:rFonts w:ascii="Arial" w:eastAsia="宋体" w:hAnsi="Arial" w:cs="Arial"/>
          <w:sz w:val="23"/>
          <w:szCs w:val="23"/>
        </w:rPr>
        <w:t>4.26%</w:t>
      </w:r>
      <w:r w:rsidR="00CF4670" w:rsidRPr="009432A2">
        <w:rPr>
          <w:rFonts w:ascii="Arial" w:eastAsia="宋体" w:hAnsi="Arial" w:cs="Arial" w:hint="eastAsia"/>
          <w:sz w:val="23"/>
          <w:szCs w:val="23"/>
        </w:rPr>
        <w:t>。其中，永续</w:t>
      </w:r>
      <w:proofErr w:type="gramStart"/>
      <w:r w:rsidR="00CF4670" w:rsidRPr="009432A2">
        <w:rPr>
          <w:rFonts w:ascii="Arial" w:eastAsia="宋体" w:hAnsi="Arial" w:cs="Arial" w:hint="eastAsia"/>
          <w:sz w:val="23"/>
          <w:szCs w:val="23"/>
        </w:rPr>
        <w:t>债规模</w:t>
      </w:r>
      <w:proofErr w:type="gramEnd"/>
      <w:r w:rsidR="00CF4670" w:rsidRPr="009432A2">
        <w:rPr>
          <w:rFonts w:ascii="Arial" w:eastAsia="宋体" w:hAnsi="Arial" w:cs="Arial" w:hint="eastAsia"/>
          <w:sz w:val="23"/>
          <w:szCs w:val="23"/>
        </w:rPr>
        <w:t>同业第</w:t>
      </w:r>
      <w:r w:rsidR="00CF4670" w:rsidRPr="009432A2">
        <w:rPr>
          <w:rFonts w:ascii="Arial" w:eastAsia="宋体" w:hAnsi="Arial" w:cs="Arial" w:hint="eastAsia"/>
          <w:sz w:val="23"/>
          <w:szCs w:val="23"/>
        </w:rPr>
        <w:lastRenderedPageBreak/>
        <w:t>一、绿色债券</w:t>
      </w:r>
      <w:proofErr w:type="gramStart"/>
      <w:r w:rsidR="00CF4670" w:rsidRPr="009432A2">
        <w:rPr>
          <w:rFonts w:ascii="Arial" w:eastAsia="宋体" w:hAnsi="Arial" w:cs="Arial" w:hint="eastAsia"/>
          <w:sz w:val="23"/>
          <w:szCs w:val="23"/>
        </w:rPr>
        <w:t>和科创票据</w:t>
      </w:r>
      <w:proofErr w:type="gramEnd"/>
      <w:r w:rsidR="00CF4670" w:rsidRPr="009432A2">
        <w:rPr>
          <w:rFonts w:ascii="Arial" w:eastAsia="宋体" w:hAnsi="Arial" w:cs="Arial" w:hint="eastAsia"/>
          <w:sz w:val="23"/>
          <w:szCs w:val="23"/>
        </w:rPr>
        <w:t>规模同业第二、资产支持票据（</w:t>
      </w:r>
      <w:r w:rsidR="00CF4670" w:rsidRPr="009432A2">
        <w:rPr>
          <w:rFonts w:ascii="Arial" w:eastAsia="宋体" w:hAnsi="Arial" w:cs="Arial"/>
          <w:sz w:val="23"/>
          <w:szCs w:val="23"/>
        </w:rPr>
        <w:t>ABN</w:t>
      </w:r>
      <w:r w:rsidR="00CF4670" w:rsidRPr="009432A2">
        <w:rPr>
          <w:rFonts w:ascii="Arial" w:eastAsia="宋体" w:hAnsi="Arial" w:cs="Arial" w:hint="eastAsia"/>
          <w:sz w:val="23"/>
          <w:szCs w:val="23"/>
        </w:rPr>
        <w:t>）规模同业第三。本公司并购金融业务发生额</w:t>
      </w:r>
      <w:r w:rsidR="00CF4670" w:rsidRPr="009432A2">
        <w:rPr>
          <w:rFonts w:ascii="Arial" w:eastAsia="宋体" w:hAnsi="Arial" w:cs="Arial"/>
          <w:sz w:val="23"/>
          <w:szCs w:val="23"/>
        </w:rPr>
        <w:t>1,333.80</w:t>
      </w:r>
      <w:r w:rsidR="00CF4670" w:rsidRPr="009432A2">
        <w:rPr>
          <w:rFonts w:ascii="Arial" w:eastAsia="宋体" w:hAnsi="Arial" w:cs="Arial" w:hint="eastAsia"/>
          <w:sz w:val="23"/>
          <w:szCs w:val="23"/>
        </w:rPr>
        <w:t>亿元，同比增长</w:t>
      </w:r>
      <w:r w:rsidR="00CF4670" w:rsidRPr="009432A2">
        <w:rPr>
          <w:rFonts w:ascii="Arial" w:eastAsia="宋体" w:hAnsi="Arial" w:cs="Arial"/>
          <w:sz w:val="23"/>
          <w:szCs w:val="23"/>
        </w:rPr>
        <w:t>14.13%</w:t>
      </w:r>
      <w:r w:rsidR="00CF4670" w:rsidRPr="009432A2">
        <w:rPr>
          <w:rFonts w:ascii="Arial" w:eastAsia="宋体" w:hAnsi="Arial" w:cs="Arial" w:hint="eastAsia"/>
          <w:sz w:val="23"/>
          <w:szCs w:val="23"/>
        </w:rPr>
        <w:t>，落地多</w:t>
      </w:r>
      <w:proofErr w:type="gramStart"/>
      <w:r w:rsidR="00CF4670" w:rsidRPr="009432A2">
        <w:rPr>
          <w:rFonts w:ascii="Arial" w:eastAsia="宋体" w:hAnsi="Arial" w:cs="Arial" w:hint="eastAsia"/>
          <w:sz w:val="23"/>
          <w:szCs w:val="23"/>
        </w:rPr>
        <w:t>单具有</w:t>
      </w:r>
      <w:proofErr w:type="gramEnd"/>
      <w:r w:rsidR="00CF4670" w:rsidRPr="009432A2">
        <w:rPr>
          <w:rFonts w:ascii="Arial" w:eastAsia="宋体" w:hAnsi="Arial" w:cs="Arial" w:hint="eastAsia"/>
          <w:sz w:val="23"/>
          <w:szCs w:val="23"/>
        </w:rPr>
        <w:t>市场影响力的重大项目，品牌优势持续提升。票据业务方面，受票据市场整体业务量下降影响，本公司票据直贴业务量</w:t>
      </w:r>
      <w:r w:rsidR="00CF4670" w:rsidRPr="009432A2">
        <w:rPr>
          <w:rFonts w:ascii="Arial" w:eastAsia="宋体" w:hAnsi="Arial" w:cs="Arial"/>
          <w:sz w:val="23"/>
          <w:szCs w:val="23"/>
        </w:rPr>
        <w:t>7,014.41</w:t>
      </w:r>
      <w:r w:rsidR="00CF4670" w:rsidRPr="009432A2">
        <w:rPr>
          <w:rFonts w:ascii="Arial" w:eastAsia="宋体" w:hAnsi="Arial" w:cs="Arial" w:hint="eastAsia"/>
          <w:sz w:val="23"/>
          <w:szCs w:val="23"/>
        </w:rPr>
        <w:t>亿元，同比下降</w:t>
      </w:r>
      <w:r w:rsidR="00CF4670" w:rsidRPr="009432A2">
        <w:rPr>
          <w:rFonts w:ascii="Arial" w:eastAsia="宋体" w:hAnsi="Arial" w:cs="Arial"/>
          <w:sz w:val="23"/>
          <w:szCs w:val="23"/>
        </w:rPr>
        <w:t>16.88%</w:t>
      </w:r>
      <w:r w:rsidR="00CF4670" w:rsidRPr="009432A2">
        <w:rPr>
          <w:rFonts w:ascii="Arial" w:eastAsia="宋体" w:hAnsi="Arial" w:cs="Arial" w:hint="eastAsia"/>
          <w:sz w:val="23"/>
          <w:szCs w:val="23"/>
        </w:rPr>
        <w:t>，排名保持第二（中国银行业协会数据），其中，商业承兑汇票贴现业务量</w:t>
      </w:r>
      <w:r w:rsidR="00CF4670" w:rsidRPr="009432A2">
        <w:rPr>
          <w:rFonts w:ascii="Arial" w:eastAsia="宋体" w:hAnsi="Arial" w:cs="Arial"/>
          <w:sz w:val="23"/>
          <w:szCs w:val="23"/>
        </w:rPr>
        <w:t>826.37</w:t>
      </w:r>
      <w:r w:rsidR="00CF4670" w:rsidRPr="009432A2">
        <w:rPr>
          <w:rFonts w:ascii="Arial" w:eastAsia="宋体" w:hAnsi="Arial" w:cs="Arial" w:hint="eastAsia"/>
          <w:sz w:val="23"/>
          <w:szCs w:val="23"/>
        </w:rPr>
        <w:t>亿元，排名第一（商业银行票据业务联席会数据）。金融市场业务方面，人民币债券投资交易量</w:t>
      </w:r>
      <w:r w:rsidR="00CF4670" w:rsidRPr="009432A2">
        <w:rPr>
          <w:rFonts w:ascii="Arial" w:eastAsia="宋体" w:hAnsi="Arial" w:cs="Arial"/>
          <w:sz w:val="23"/>
          <w:szCs w:val="23"/>
        </w:rPr>
        <w:t>1.38</w:t>
      </w:r>
      <w:proofErr w:type="gramStart"/>
      <w:r w:rsidR="00CF4670" w:rsidRPr="009432A2">
        <w:rPr>
          <w:rFonts w:ascii="Arial" w:eastAsia="宋体" w:hAnsi="Arial" w:cs="Arial" w:hint="eastAsia"/>
          <w:sz w:val="23"/>
          <w:szCs w:val="23"/>
        </w:rPr>
        <w:t>万亿</w:t>
      </w:r>
      <w:proofErr w:type="gramEnd"/>
      <w:r w:rsidR="00CF4670" w:rsidRPr="009432A2">
        <w:rPr>
          <w:rFonts w:ascii="Arial" w:eastAsia="宋体" w:hAnsi="Arial" w:cs="Arial" w:hint="eastAsia"/>
          <w:sz w:val="23"/>
          <w:szCs w:val="23"/>
        </w:rPr>
        <w:t>元，同比增长</w:t>
      </w:r>
      <w:r w:rsidR="00CF4670" w:rsidRPr="009432A2">
        <w:rPr>
          <w:rFonts w:ascii="Arial" w:eastAsia="宋体" w:hAnsi="Arial" w:cs="Arial"/>
          <w:sz w:val="23"/>
          <w:szCs w:val="23"/>
        </w:rPr>
        <w:t>15.76%</w:t>
      </w:r>
      <w:r w:rsidR="00CF4670" w:rsidRPr="009432A2">
        <w:rPr>
          <w:rFonts w:ascii="Arial" w:eastAsia="宋体" w:hAnsi="Arial" w:cs="Arial" w:hint="eastAsia"/>
          <w:sz w:val="23"/>
          <w:szCs w:val="23"/>
        </w:rPr>
        <w:t>；本公司合计为</w:t>
      </w:r>
      <w:r w:rsidR="00CF4670" w:rsidRPr="009432A2">
        <w:rPr>
          <w:rFonts w:ascii="Arial" w:eastAsia="宋体" w:hAnsi="Arial" w:cs="Arial"/>
          <w:sz w:val="23"/>
          <w:szCs w:val="23"/>
        </w:rPr>
        <w:t>3,019</w:t>
      </w:r>
      <w:r w:rsidR="00CF4670" w:rsidRPr="009432A2">
        <w:rPr>
          <w:rFonts w:ascii="Arial" w:eastAsia="宋体" w:hAnsi="Arial" w:cs="Arial" w:hint="eastAsia"/>
          <w:sz w:val="23"/>
          <w:szCs w:val="23"/>
        </w:rPr>
        <w:t>家企业提供避险服务，交易量合计</w:t>
      </w:r>
      <w:r w:rsidR="00CF4670" w:rsidRPr="009432A2">
        <w:rPr>
          <w:rFonts w:ascii="Arial" w:eastAsia="宋体" w:hAnsi="Arial" w:cs="Arial"/>
          <w:sz w:val="23"/>
          <w:szCs w:val="23"/>
        </w:rPr>
        <w:t>296.39</w:t>
      </w:r>
      <w:r w:rsidR="00CF4670" w:rsidRPr="009432A2">
        <w:rPr>
          <w:rFonts w:ascii="Arial" w:eastAsia="宋体" w:hAnsi="Arial" w:cs="Arial" w:hint="eastAsia"/>
          <w:sz w:val="23"/>
          <w:szCs w:val="23"/>
        </w:rPr>
        <w:t>亿美元；本公司为</w:t>
      </w:r>
      <w:r w:rsidR="00CF4670" w:rsidRPr="009432A2">
        <w:rPr>
          <w:rFonts w:ascii="Arial" w:eastAsia="宋体" w:hAnsi="Arial" w:cs="Arial"/>
          <w:sz w:val="23"/>
          <w:szCs w:val="23"/>
        </w:rPr>
        <w:t>2,596</w:t>
      </w:r>
      <w:r w:rsidR="00CF4670" w:rsidRPr="009432A2">
        <w:rPr>
          <w:rFonts w:ascii="Arial" w:eastAsia="宋体" w:hAnsi="Arial" w:cs="Arial" w:hint="eastAsia"/>
          <w:sz w:val="23"/>
          <w:szCs w:val="23"/>
        </w:rPr>
        <w:t>家公司客户提供线上衍生交易服务，交易量合计</w:t>
      </w:r>
      <w:r w:rsidR="00CF4670" w:rsidRPr="009432A2">
        <w:rPr>
          <w:rFonts w:ascii="Arial" w:eastAsia="宋体" w:hAnsi="Arial" w:cs="Arial"/>
          <w:sz w:val="23"/>
          <w:szCs w:val="23"/>
        </w:rPr>
        <w:t>119.76</w:t>
      </w:r>
      <w:r w:rsidR="00CF4670" w:rsidRPr="009432A2">
        <w:rPr>
          <w:rFonts w:ascii="Arial" w:eastAsia="宋体" w:hAnsi="Arial" w:cs="Arial" w:hint="eastAsia"/>
          <w:sz w:val="23"/>
          <w:szCs w:val="23"/>
        </w:rPr>
        <w:t>亿美元。</w:t>
      </w:r>
      <w:r w:rsidR="00DC39A9" w:rsidRPr="008260BC">
        <w:rPr>
          <w:rFonts w:ascii="Arial" w:eastAsia="宋体" w:hAnsi="Arial" w:cs="Arial" w:hint="eastAsia"/>
          <w:sz w:val="23"/>
          <w:szCs w:val="23"/>
        </w:rPr>
        <w:t>同业互联网服务平台</w:t>
      </w:r>
      <w:r w:rsidR="00884499">
        <w:rPr>
          <w:rFonts w:ascii="Arial" w:eastAsia="宋体" w:hAnsi="Arial" w:cs="Arial" w:hint="eastAsia"/>
          <w:sz w:val="23"/>
          <w:szCs w:val="23"/>
        </w:rPr>
        <w:t>“</w:t>
      </w:r>
      <w:r w:rsidR="00884499" w:rsidRPr="008260BC">
        <w:rPr>
          <w:rFonts w:ascii="Arial" w:eastAsia="宋体" w:hAnsi="Arial" w:cs="Arial" w:hint="eastAsia"/>
          <w:sz w:val="23"/>
          <w:szCs w:val="23"/>
        </w:rPr>
        <w:t>招赢通</w:t>
      </w:r>
      <w:r w:rsidR="00884499">
        <w:rPr>
          <w:rFonts w:ascii="Arial" w:eastAsia="宋体" w:hAnsi="Arial" w:cs="Arial" w:hint="eastAsia"/>
          <w:sz w:val="23"/>
          <w:szCs w:val="23"/>
        </w:rPr>
        <w:t>”</w:t>
      </w:r>
      <w:r w:rsidR="00DC39A9" w:rsidRPr="008260BC">
        <w:rPr>
          <w:rFonts w:ascii="Arial" w:eastAsia="宋体" w:hAnsi="Arial" w:cs="Arial" w:hint="eastAsia"/>
          <w:sz w:val="23"/>
          <w:szCs w:val="23"/>
        </w:rPr>
        <w:t>第三</w:t>
      </w:r>
      <w:proofErr w:type="gramStart"/>
      <w:r w:rsidR="00DC39A9" w:rsidRPr="008260BC">
        <w:rPr>
          <w:rFonts w:ascii="Arial" w:eastAsia="宋体" w:hAnsi="Arial" w:cs="Arial" w:hint="eastAsia"/>
          <w:sz w:val="23"/>
          <w:szCs w:val="23"/>
        </w:rPr>
        <w:t>方资管产品</w:t>
      </w:r>
      <w:proofErr w:type="gramEnd"/>
      <w:r w:rsidR="00DC39A9" w:rsidRPr="008260BC">
        <w:rPr>
          <w:rFonts w:ascii="Arial" w:eastAsia="宋体" w:hAnsi="Arial" w:cs="Arial" w:hint="eastAsia"/>
          <w:sz w:val="23"/>
          <w:szCs w:val="23"/>
        </w:rPr>
        <w:t>线上销售量</w:t>
      </w:r>
      <w:r w:rsidR="00DC39A9" w:rsidRPr="008260BC">
        <w:rPr>
          <w:rFonts w:ascii="Arial" w:eastAsia="宋体" w:hAnsi="Arial" w:cs="Arial"/>
          <w:sz w:val="23"/>
          <w:szCs w:val="23"/>
        </w:rPr>
        <w:t>4,298.31</w:t>
      </w:r>
      <w:r w:rsidR="00DC39A9" w:rsidRPr="008260BC">
        <w:rPr>
          <w:rFonts w:ascii="Arial" w:eastAsia="宋体" w:hAnsi="Arial" w:cs="Arial" w:hint="eastAsia"/>
          <w:sz w:val="23"/>
          <w:szCs w:val="23"/>
        </w:rPr>
        <w:t>亿元，同比增长</w:t>
      </w:r>
      <w:r w:rsidR="00DC39A9" w:rsidRPr="008260BC">
        <w:rPr>
          <w:rFonts w:ascii="Arial" w:eastAsia="宋体" w:hAnsi="Arial" w:cs="Arial"/>
          <w:sz w:val="23"/>
          <w:szCs w:val="23"/>
        </w:rPr>
        <w:t>8.78%</w:t>
      </w:r>
      <w:r w:rsidR="00DC39A9" w:rsidRPr="008260BC">
        <w:rPr>
          <w:rFonts w:ascii="Arial" w:eastAsia="宋体" w:hAnsi="Arial" w:cs="Arial" w:hint="eastAsia"/>
          <w:sz w:val="23"/>
          <w:szCs w:val="23"/>
        </w:rPr>
        <w:t>。</w:t>
      </w:r>
    </w:p>
    <w:p w14:paraId="78640349" w14:textId="77777777" w:rsidR="00CF4670" w:rsidRPr="00CF4670" w:rsidRDefault="00CF4670" w:rsidP="00CF4670">
      <w:pPr>
        <w:widowControl w:val="0"/>
        <w:autoSpaceDE w:val="0"/>
        <w:autoSpaceDN w:val="0"/>
        <w:adjustRightInd w:val="0"/>
        <w:spacing w:after="0" w:line="240" w:lineRule="auto"/>
        <w:ind w:left="360"/>
        <w:jc w:val="both"/>
        <w:rPr>
          <w:rFonts w:ascii="Arial" w:eastAsia="宋体" w:hAnsi="Arial" w:cs="Arial"/>
          <w:b/>
          <w:sz w:val="23"/>
          <w:szCs w:val="23"/>
          <w:lang w:val="en-US"/>
        </w:rPr>
      </w:pPr>
    </w:p>
    <w:p w14:paraId="5655FBFE" w14:textId="29D5E650" w:rsidR="00CF4670" w:rsidRPr="00CF4670" w:rsidRDefault="00CF4670">
      <w:pPr>
        <w:widowControl w:val="0"/>
        <w:numPr>
          <w:ilvl w:val="0"/>
          <w:numId w:val="5"/>
        </w:numPr>
        <w:spacing w:after="0" w:line="240" w:lineRule="auto"/>
        <w:ind w:left="426" w:hanging="426"/>
        <w:jc w:val="both"/>
        <w:rPr>
          <w:rFonts w:ascii="Arial" w:eastAsia="宋体" w:hAnsi="Arial" w:cs="Arial"/>
          <w:b/>
          <w:bCs/>
          <w:kern w:val="2"/>
          <w:sz w:val="23"/>
          <w:szCs w:val="23"/>
          <w:lang w:val="en-US"/>
        </w:rPr>
      </w:pPr>
      <w:r w:rsidRPr="00CF4670">
        <w:rPr>
          <w:rFonts w:ascii="Arial" w:eastAsia="宋体" w:hAnsi="Arial" w:cs="Arial" w:hint="eastAsia"/>
          <w:b/>
          <w:sz w:val="23"/>
          <w:szCs w:val="23"/>
          <w:lang w:val="en-US"/>
        </w:rPr>
        <w:t>大财富管理业务</w:t>
      </w:r>
      <w:bookmarkEnd w:id="4"/>
      <w:r w:rsidR="00455F67">
        <w:rPr>
          <w:rFonts w:ascii="Arial" w:eastAsia="宋体" w:hAnsi="Arial" w:cs="Arial" w:hint="eastAsia"/>
          <w:b/>
          <w:sz w:val="23"/>
          <w:szCs w:val="23"/>
          <w:lang w:val="en-US"/>
        </w:rPr>
        <w:t>稳步发展</w:t>
      </w:r>
    </w:p>
    <w:bookmarkEnd w:id="3"/>
    <w:p w14:paraId="4F8EDC48" w14:textId="77777777" w:rsidR="0094250E" w:rsidRDefault="0094250E" w:rsidP="008B27B3">
      <w:pPr>
        <w:widowControl w:val="0"/>
        <w:autoSpaceDE w:val="0"/>
        <w:autoSpaceDN w:val="0"/>
        <w:adjustRightInd w:val="0"/>
        <w:spacing w:after="0" w:line="240" w:lineRule="auto"/>
        <w:ind w:left="360"/>
        <w:jc w:val="both"/>
        <w:rPr>
          <w:rFonts w:ascii="Arial" w:eastAsia="宋体" w:hAnsi="Arial" w:cs="Arial"/>
          <w:b/>
          <w:sz w:val="23"/>
          <w:szCs w:val="23"/>
          <w:lang w:val="en-US"/>
        </w:rPr>
      </w:pPr>
    </w:p>
    <w:p w14:paraId="5FC6E5DB" w14:textId="0177DFA3" w:rsidR="00CF4670" w:rsidRPr="008B27B3" w:rsidRDefault="00CF4670" w:rsidP="008B27B3">
      <w:pPr>
        <w:widowControl w:val="0"/>
        <w:autoSpaceDE w:val="0"/>
        <w:autoSpaceDN w:val="0"/>
        <w:adjustRightInd w:val="0"/>
        <w:spacing w:after="0" w:line="240" w:lineRule="auto"/>
        <w:ind w:left="360"/>
        <w:jc w:val="both"/>
        <w:rPr>
          <w:rFonts w:ascii="Arial" w:eastAsia="宋体" w:hAnsi="Arial" w:cs="Arial"/>
          <w:sz w:val="23"/>
          <w:szCs w:val="23"/>
        </w:rPr>
      </w:pPr>
      <w:r w:rsidRPr="009432A2">
        <w:rPr>
          <w:rFonts w:ascii="Arial" w:eastAsia="宋体" w:hAnsi="Arial" w:cs="Arial" w:hint="eastAsia"/>
          <w:b/>
          <w:sz w:val="23"/>
          <w:szCs w:val="23"/>
          <w:lang w:val="en-US"/>
        </w:rPr>
        <w:t>零售客户</w:t>
      </w:r>
      <w:r w:rsidRPr="009432A2">
        <w:rPr>
          <w:rFonts w:ascii="Arial" w:eastAsia="宋体" w:hAnsi="Arial" w:cs="Arial"/>
          <w:b/>
          <w:sz w:val="23"/>
          <w:szCs w:val="23"/>
          <w:lang w:val="en-US"/>
        </w:rPr>
        <w:t>AUM</w:t>
      </w:r>
      <w:r w:rsidR="008B27B3">
        <w:rPr>
          <w:rFonts w:ascii="Arial" w:eastAsia="宋体" w:hAnsi="Arial" w:cs="Arial" w:hint="eastAsia"/>
          <w:b/>
          <w:sz w:val="23"/>
          <w:szCs w:val="23"/>
          <w:lang w:val="en-US"/>
        </w:rPr>
        <w:t>稳定增长</w:t>
      </w:r>
      <w:r w:rsidRPr="009432A2">
        <w:rPr>
          <w:rFonts w:ascii="Arial" w:eastAsia="宋体" w:hAnsi="Arial" w:cs="Arial" w:hint="eastAsia"/>
          <w:b/>
          <w:sz w:val="23"/>
          <w:szCs w:val="23"/>
          <w:lang w:val="en-US"/>
        </w:rPr>
        <w:t>。</w:t>
      </w:r>
      <w:r w:rsidRPr="009432A2">
        <w:rPr>
          <w:rFonts w:ascii="Arial" w:eastAsia="宋体" w:hAnsi="Arial" w:cs="Arial" w:hint="eastAsia"/>
          <w:sz w:val="23"/>
          <w:szCs w:val="23"/>
        </w:rPr>
        <w:t>截至报告期末，本公司管理零售客户总资产（</w:t>
      </w:r>
      <w:r w:rsidRPr="009432A2">
        <w:rPr>
          <w:rFonts w:ascii="Arial" w:eastAsia="宋体" w:hAnsi="Arial" w:cs="Arial"/>
          <w:sz w:val="23"/>
          <w:szCs w:val="23"/>
        </w:rPr>
        <w:t>AUM</w:t>
      </w:r>
      <w:r w:rsidRPr="009432A2">
        <w:rPr>
          <w:rFonts w:ascii="Arial" w:eastAsia="宋体" w:hAnsi="Arial" w:cs="Arial" w:hint="eastAsia"/>
          <w:sz w:val="23"/>
          <w:szCs w:val="23"/>
        </w:rPr>
        <w:t>）余额</w:t>
      </w:r>
      <w:r w:rsidRPr="009432A2">
        <w:rPr>
          <w:rFonts w:ascii="Arial" w:eastAsia="宋体" w:hAnsi="Arial" w:cs="Arial"/>
          <w:sz w:val="23"/>
          <w:szCs w:val="23"/>
        </w:rPr>
        <w:t>12.84</w:t>
      </w:r>
      <w:proofErr w:type="gramStart"/>
      <w:r w:rsidRPr="009432A2">
        <w:rPr>
          <w:rFonts w:ascii="Arial" w:eastAsia="宋体" w:hAnsi="Arial" w:cs="Arial" w:hint="eastAsia"/>
          <w:sz w:val="23"/>
          <w:szCs w:val="23"/>
        </w:rPr>
        <w:t>万亿</w:t>
      </w:r>
      <w:proofErr w:type="gramEnd"/>
      <w:r w:rsidRPr="009432A2">
        <w:rPr>
          <w:rFonts w:ascii="Arial" w:eastAsia="宋体" w:hAnsi="Arial" w:cs="Arial" w:hint="eastAsia"/>
          <w:sz w:val="23"/>
          <w:szCs w:val="23"/>
        </w:rPr>
        <w:t>元，较上年末增长</w:t>
      </w:r>
      <w:r w:rsidRPr="009432A2">
        <w:rPr>
          <w:rFonts w:ascii="Arial" w:eastAsia="宋体" w:hAnsi="Arial" w:cs="Arial"/>
          <w:sz w:val="23"/>
          <w:szCs w:val="23"/>
        </w:rPr>
        <w:t>5.90%</w:t>
      </w:r>
      <w:r w:rsidRPr="009432A2">
        <w:rPr>
          <w:rFonts w:ascii="Arial" w:eastAsia="宋体" w:hAnsi="Arial" w:cs="Arial" w:hint="eastAsia"/>
          <w:sz w:val="23"/>
          <w:szCs w:val="23"/>
        </w:rPr>
        <w:t>。本公司零售理财产品余额</w:t>
      </w:r>
      <w:r w:rsidRPr="009432A2">
        <w:rPr>
          <w:rFonts w:ascii="Arial" w:eastAsia="宋体" w:hAnsi="Arial" w:cs="Arial"/>
          <w:sz w:val="23"/>
          <w:szCs w:val="23"/>
        </w:rPr>
        <w:t>32,392.38</w:t>
      </w:r>
      <w:r w:rsidRPr="009432A2">
        <w:rPr>
          <w:rFonts w:ascii="Arial" w:eastAsia="宋体" w:hAnsi="Arial" w:cs="Arial" w:hint="eastAsia"/>
          <w:sz w:val="23"/>
          <w:szCs w:val="23"/>
        </w:rPr>
        <w:t>亿元，较上年末增长</w:t>
      </w:r>
      <w:r w:rsidRPr="009432A2">
        <w:rPr>
          <w:rFonts w:ascii="Arial" w:eastAsia="宋体" w:hAnsi="Arial" w:cs="Arial"/>
          <w:sz w:val="23"/>
          <w:szCs w:val="23"/>
        </w:rPr>
        <w:t>3.21%</w:t>
      </w:r>
      <w:r w:rsidRPr="009432A2">
        <w:rPr>
          <w:rFonts w:ascii="Arial" w:eastAsia="宋体" w:hAnsi="Arial" w:cs="Arial" w:hint="eastAsia"/>
          <w:sz w:val="23"/>
          <w:szCs w:val="23"/>
        </w:rPr>
        <w:t>；实现代理保险保费</w:t>
      </w:r>
      <w:r w:rsidRPr="009432A2">
        <w:rPr>
          <w:rFonts w:ascii="Arial" w:eastAsia="宋体" w:hAnsi="Arial" w:cs="Arial"/>
          <w:sz w:val="23"/>
          <w:szCs w:val="23"/>
        </w:rPr>
        <w:t>573.94</w:t>
      </w:r>
      <w:r w:rsidRPr="009432A2">
        <w:rPr>
          <w:rFonts w:ascii="Arial" w:eastAsia="宋体" w:hAnsi="Arial" w:cs="Arial" w:hint="eastAsia"/>
          <w:sz w:val="23"/>
          <w:szCs w:val="23"/>
        </w:rPr>
        <w:t>亿元，同比增长</w:t>
      </w:r>
      <w:r w:rsidRPr="009432A2">
        <w:rPr>
          <w:rFonts w:ascii="Arial" w:eastAsia="宋体" w:hAnsi="Arial" w:cs="Arial"/>
          <w:sz w:val="23"/>
          <w:szCs w:val="23"/>
        </w:rPr>
        <w:t>54.88%</w:t>
      </w:r>
      <w:r w:rsidRPr="009432A2">
        <w:rPr>
          <w:rFonts w:ascii="Arial" w:eastAsia="宋体" w:hAnsi="Arial" w:cs="Arial" w:hint="eastAsia"/>
          <w:sz w:val="23"/>
          <w:szCs w:val="23"/>
        </w:rPr>
        <w:t>。</w:t>
      </w:r>
      <w:r w:rsidRPr="009432A2">
        <w:rPr>
          <w:rFonts w:ascii="Arial" w:eastAsia="宋体" w:hAnsi="Arial" w:cs="Arial" w:hint="eastAsia"/>
          <w:color w:val="000000"/>
          <w:sz w:val="23"/>
          <w:szCs w:val="23"/>
          <w:lang w:val="en-US"/>
        </w:rPr>
        <w:t>本公司财富产品持仓客户数达</w:t>
      </w:r>
      <w:r w:rsidRPr="009432A2">
        <w:rPr>
          <w:rFonts w:ascii="Arial" w:eastAsia="宋体" w:hAnsi="Arial" w:cs="Arial"/>
          <w:color w:val="000000"/>
          <w:sz w:val="23"/>
          <w:szCs w:val="23"/>
          <w:lang w:val="en-US"/>
        </w:rPr>
        <w:t>4,663.34</w:t>
      </w:r>
      <w:r w:rsidRPr="009432A2">
        <w:rPr>
          <w:rFonts w:ascii="Arial" w:eastAsia="宋体" w:hAnsi="Arial" w:cs="Arial" w:hint="eastAsia"/>
          <w:color w:val="000000"/>
          <w:sz w:val="23"/>
          <w:szCs w:val="23"/>
          <w:lang w:val="en-US"/>
        </w:rPr>
        <w:t>万户，较上年末增长</w:t>
      </w:r>
      <w:r w:rsidRPr="009432A2">
        <w:rPr>
          <w:rFonts w:ascii="Arial" w:eastAsia="宋体" w:hAnsi="Arial" w:cs="Arial"/>
          <w:color w:val="000000"/>
          <w:sz w:val="23"/>
          <w:szCs w:val="23"/>
          <w:lang w:val="en-US"/>
        </w:rPr>
        <w:t>8.12%</w:t>
      </w:r>
      <w:r w:rsidRPr="00CF4670">
        <w:rPr>
          <w:rFonts w:ascii="Arial" w:eastAsia="宋体" w:hAnsi="Arial" w:cs="Arial" w:hint="eastAsia"/>
          <w:color w:val="000000"/>
          <w:sz w:val="23"/>
          <w:szCs w:val="23"/>
          <w:lang w:val="en-US"/>
        </w:rPr>
        <w:t>；</w:t>
      </w:r>
      <w:r w:rsidRPr="009432A2">
        <w:rPr>
          <w:rFonts w:ascii="Arial" w:eastAsia="宋体" w:hAnsi="Arial" w:cs="Arial" w:hint="eastAsia"/>
          <w:color w:val="000000"/>
          <w:sz w:val="23"/>
          <w:szCs w:val="23"/>
          <w:lang w:val="en-US"/>
        </w:rPr>
        <w:t>在“招商银行资产配置</w:t>
      </w:r>
      <w:r w:rsidRPr="009432A2">
        <w:rPr>
          <w:rFonts w:ascii="Arial" w:eastAsia="宋体" w:hAnsi="Arial" w:cs="Arial"/>
          <w:color w:val="000000"/>
          <w:sz w:val="23"/>
          <w:szCs w:val="23"/>
          <w:lang w:val="en-US"/>
        </w:rPr>
        <w:t>TREE</w:t>
      </w:r>
      <w:r w:rsidRPr="009432A2">
        <w:rPr>
          <w:rFonts w:ascii="Arial" w:eastAsia="宋体" w:hAnsi="Arial" w:cs="Arial" w:hint="eastAsia"/>
          <w:color w:val="000000"/>
          <w:sz w:val="23"/>
          <w:szCs w:val="23"/>
          <w:lang w:val="en-US"/>
        </w:rPr>
        <w:t>体系”下进行资产配置的客户</w:t>
      </w:r>
      <w:r w:rsidRPr="009432A2">
        <w:rPr>
          <w:rFonts w:ascii="Arial" w:eastAsia="宋体" w:hAnsi="Arial" w:cs="Arial"/>
          <w:color w:val="000000"/>
          <w:sz w:val="23"/>
          <w:szCs w:val="23"/>
          <w:vertAlign w:val="superscript"/>
          <w:lang w:val="en-US"/>
        </w:rPr>
        <w:footnoteReference w:id="2"/>
      </w:r>
      <w:r w:rsidRPr="009432A2">
        <w:rPr>
          <w:rFonts w:ascii="Arial" w:eastAsia="宋体" w:hAnsi="Arial" w:cs="Arial" w:hint="eastAsia"/>
          <w:color w:val="000000"/>
          <w:sz w:val="23"/>
          <w:szCs w:val="23"/>
          <w:lang w:val="en-US"/>
        </w:rPr>
        <w:t>达</w:t>
      </w:r>
      <w:r w:rsidRPr="009432A2">
        <w:rPr>
          <w:rFonts w:ascii="Arial" w:eastAsia="宋体" w:hAnsi="Arial" w:cs="Arial"/>
          <w:color w:val="000000"/>
          <w:sz w:val="23"/>
          <w:szCs w:val="23"/>
          <w:lang w:val="en-US"/>
        </w:rPr>
        <w:t>865.14</w:t>
      </w:r>
      <w:r w:rsidRPr="009432A2">
        <w:rPr>
          <w:rFonts w:ascii="Arial" w:eastAsia="宋体" w:hAnsi="Arial" w:cs="Arial" w:hint="eastAsia"/>
          <w:color w:val="000000"/>
          <w:sz w:val="23"/>
          <w:szCs w:val="23"/>
          <w:lang w:val="en-US"/>
        </w:rPr>
        <w:t>万户，较上年末增长</w:t>
      </w:r>
      <w:r w:rsidRPr="009432A2">
        <w:rPr>
          <w:rFonts w:ascii="Arial" w:eastAsia="宋体" w:hAnsi="Arial" w:cs="Arial"/>
          <w:color w:val="000000"/>
          <w:sz w:val="23"/>
          <w:szCs w:val="23"/>
          <w:lang w:val="en-US"/>
        </w:rPr>
        <w:t>6.45%</w:t>
      </w:r>
      <w:r w:rsidRPr="009432A2">
        <w:rPr>
          <w:rFonts w:ascii="Arial" w:eastAsia="宋体" w:hAnsi="Arial" w:cs="Arial" w:hint="eastAsia"/>
          <w:color w:val="000000"/>
          <w:sz w:val="23"/>
          <w:szCs w:val="23"/>
          <w:lang w:val="en-US"/>
        </w:rPr>
        <w:t>。</w:t>
      </w:r>
      <w:r w:rsidRPr="00CF4670">
        <w:rPr>
          <w:rFonts w:ascii="Arial" w:eastAsia="宋体" w:hAnsi="Arial" w:cs="Arial" w:hint="eastAsia"/>
          <w:color w:val="000000"/>
          <w:sz w:val="23"/>
          <w:szCs w:val="23"/>
          <w:lang w:val="en-US"/>
        </w:rPr>
        <w:t>本公司</w:t>
      </w:r>
      <w:r w:rsidRPr="00CF4670">
        <w:rPr>
          <w:rFonts w:ascii="Arial" w:eastAsia="宋体" w:hAnsi="Arial" w:cs="Arial"/>
          <w:color w:val="000000"/>
          <w:sz w:val="23"/>
          <w:szCs w:val="23"/>
          <w:lang w:val="en-US"/>
        </w:rPr>
        <w:t>家族信托业务单数突破万单，业务规模较上年末增长</w:t>
      </w:r>
      <w:r w:rsidRPr="00CF4670">
        <w:rPr>
          <w:rFonts w:ascii="Arial" w:eastAsia="宋体" w:hAnsi="Arial" w:cs="Arial"/>
          <w:color w:val="000000"/>
          <w:sz w:val="23"/>
          <w:szCs w:val="23"/>
          <w:lang w:val="en-US"/>
        </w:rPr>
        <w:t>22.79%</w:t>
      </w:r>
      <w:r w:rsidRPr="00CF4670">
        <w:rPr>
          <w:rFonts w:ascii="Arial" w:eastAsia="宋体" w:hAnsi="Arial" w:cs="Arial"/>
          <w:color w:val="000000"/>
          <w:sz w:val="23"/>
          <w:szCs w:val="23"/>
          <w:lang w:val="en-US"/>
        </w:rPr>
        <w:t>。</w:t>
      </w:r>
      <w:r w:rsidR="003344C0" w:rsidRPr="00CF4670" w:rsidDel="003344C0">
        <w:rPr>
          <w:rFonts w:ascii="Arial" w:eastAsia="宋体" w:hAnsi="Arial" w:cs="Arial"/>
          <w:color w:val="000000"/>
          <w:sz w:val="23"/>
          <w:szCs w:val="23"/>
          <w:lang w:val="en-US"/>
        </w:rPr>
        <w:t xml:space="preserve"> </w:t>
      </w:r>
      <w:r w:rsidR="00EA22A2" w:rsidRPr="00EA22A2">
        <w:rPr>
          <w:rFonts w:ascii="Arial" w:eastAsia="宋体" w:hAnsi="Arial" w:cs="Arial" w:hint="eastAsia"/>
          <w:color w:val="000000"/>
          <w:sz w:val="23"/>
          <w:szCs w:val="23"/>
          <w:lang w:val="en-US"/>
        </w:rPr>
        <w:t>“招财号”</w:t>
      </w:r>
      <w:r w:rsidRPr="00CF4670">
        <w:rPr>
          <w:rFonts w:ascii="Arial" w:eastAsia="宋体" w:hAnsi="Arial" w:cs="Arial"/>
          <w:color w:val="000000"/>
          <w:sz w:val="23"/>
          <w:szCs w:val="23"/>
          <w:lang w:val="en-US"/>
        </w:rPr>
        <w:t>拥有粉丝</w:t>
      </w:r>
      <w:r w:rsidRPr="00CF4670">
        <w:rPr>
          <w:rFonts w:ascii="Arial" w:eastAsia="宋体" w:hAnsi="Arial" w:cs="Arial"/>
          <w:color w:val="000000"/>
          <w:sz w:val="23"/>
          <w:szCs w:val="23"/>
          <w:lang w:val="en-US"/>
        </w:rPr>
        <w:t>2,212</w:t>
      </w:r>
      <w:r w:rsidRPr="00CF4670">
        <w:rPr>
          <w:rFonts w:ascii="Arial" w:eastAsia="宋体" w:hAnsi="Arial" w:cs="Arial"/>
          <w:color w:val="000000"/>
          <w:sz w:val="23"/>
          <w:szCs w:val="23"/>
          <w:lang w:val="en-US"/>
        </w:rPr>
        <w:t>万</w:t>
      </w:r>
      <w:r w:rsidR="008B27B3" w:rsidRPr="00CF4670">
        <w:rPr>
          <w:rFonts w:ascii="Arial" w:eastAsia="宋体" w:hAnsi="Arial" w:cs="Arial"/>
          <w:color w:val="000000"/>
          <w:sz w:val="23"/>
          <w:szCs w:val="23"/>
          <w:lang w:val="en-US"/>
        </w:rPr>
        <w:t>，</w:t>
      </w:r>
      <w:r w:rsidR="008B27B3" w:rsidRPr="00CF4670">
        <w:rPr>
          <w:rFonts w:ascii="Arial" w:eastAsia="宋体" w:hAnsi="Arial" w:cs="Arial"/>
          <w:color w:val="000000"/>
          <w:sz w:val="23"/>
          <w:szCs w:val="23"/>
          <w:lang w:val="en-US"/>
        </w:rPr>
        <w:t>144</w:t>
      </w:r>
      <w:r w:rsidR="008B27B3" w:rsidRPr="00CF4670">
        <w:rPr>
          <w:rFonts w:ascii="Arial" w:eastAsia="宋体" w:hAnsi="Arial" w:cs="Arial"/>
          <w:color w:val="000000"/>
          <w:sz w:val="23"/>
          <w:szCs w:val="23"/>
          <w:lang w:val="en-US"/>
        </w:rPr>
        <w:t>家具有行业代表性</w:t>
      </w:r>
      <w:proofErr w:type="gramStart"/>
      <w:r w:rsidR="008B27B3" w:rsidRPr="00CF4670">
        <w:rPr>
          <w:rFonts w:ascii="Arial" w:eastAsia="宋体" w:hAnsi="Arial" w:cs="Arial"/>
          <w:color w:val="000000"/>
          <w:sz w:val="23"/>
          <w:szCs w:val="23"/>
          <w:lang w:val="en-US"/>
        </w:rPr>
        <w:t>的资管机构</w:t>
      </w:r>
      <w:proofErr w:type="gramEnd"/>
      <w:r w:rsidR="008B27B3" w:rsidRPr="00CF4670">
        <w:rPr>
          <w:rFonts w:ascii="Arial" w:eastAsia="宋体" w:hAnsi="Arial" w:cs="Arial"/>
          <w:color w:val="000000"/>
          <w:sz w:val="23"/>
          <w:szCs w:val="23"/>
          <w:lang w:val="en-US"/>
        </w:rPr>
        <w:t>入驻</w:t>
      </w:r>
      <w:r w:rsidR="00EA22A2">
        <w:rPr>
          <w:rFonts w:ascii="Arial" w:eastAsia="宋体" w:hAnsi="Arial" w:cs="Arial" w:hint="eastAsia"/>
          <w:color w:val="000000"/>
          <w:sz w:val="23"/>
          <w:szCs w:val="23"/>
          <w:lang w:val="en-US"/>
        </w:rPr>
        <w:t>“</w:t>
      </w:r>
      <w:r w:rsidR="00EA22A2" w:rsidRPr="00CF4670">
        <w:rPr>
          <w:rFonts w:ascii="Arial" w:eastAsia="宋体" w:hAnsi="Arial" w:cs="Arial"/>
          <w:color w:val="000000"/>
          <w:sz w:val="23"/>
          <w:szCs w:val="23"/>
          <w:lang w:val="en-US"/>
        </w:rPr>
        <w:t>招财号</w:t>
      </w:r>
      <w:r w:rsidR="00EA22A2">
        <w:rPr>
          <w:rFonts w:ascii="Arial" w:eastAsia="宋体" w:hAnsi="Arial" w:cs="Arial" w:hint="eastAsia"/>
          <w:color w:val="000000"/>
          <w:sz w:val="23"/>
          <w:szCs w:val="23"/>
          <w:lang w:val="en-US"/>
        </w:rPr>
        <w:t>”</w:t>
      </w:r>
      <w:r w:rsidR="008B27B3" w:rsidRPr="00CF4670">
        <w:rPr>
          <w:rFonts w:ascii="Arial" w:eastAsia="宋体" w:hAnsi="Arial" w:cs="Arial"/>
          <w:color w:val="000000"/>
          <w:sz w:val="23"/>
          <w:szCs w:val="23"/>
          <w:lang w:val="en-US"/>
        </w:rPr>
        <w:t>。</w:t>
      </w:r>
    </w:p>
    <w:p w14:paraId="7915FD8E" w14:textId="77777777" w:rsidR="008B27B3" w:rsidRDefault="008B27B3" w:rsidP="00CF4670">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p>
    <w:p w14:paraId="1CCFD340" w14:textId="77777777" w:rsidR="008B27B3" w:rsidRPr="008B27B3" w:rsidRDefault="008B27B3" w:rsidP="008B27B3">
      <w:pPr>
        <w:widowControl w:val="0"/>
        <w:autoSpaceDE w:val="0"/>
        <w:autoSpaceDN w:val="0"/>
        <w:adjustRightInd w:val="0"/>
        <w:spacing w:after="0" w:line="240" w:lineRule="auto"/>
        <w:ind w:left="360"/>
        <w:jc w:val="both"/>
        <w:rPr>
          <w:rFonts w:ascii="Arial" w:eastAsia="宋体" w:hAnsi="Arial" w:cs="Arial"/>
          <w:bCs/>
          <w:sz w:val="23"/>
          <w:szCs w:val="23"/>
        </w:rPr>
      </w:pPr>
      <w:r w:rsidRPr="008B27B3">
        <w:rPr>
          <w:rFonts w:ascii="Arial" w:eastAsia="宋体" w:hAnsi="Arial" w:cs="Arial" w:hint="eastAsia"/>
          <w:b/>
          <w:bCs/>
          <w:sz w:val="23"/>
          <w:szCs w:val="23"/>
        </w:rPr>
        <w:t>公司客户</w:t>
      </w:r>
      <w:r w:rsidRPr="008B27B3">
        <w:rPr>
          <w:rFonts w:ascii="Arial" w:eastAsia="宋体" w:hAnsi="Arial" w:cs="Arial"/>
          <w:b/>
          <w:bCs/>
          <w:sz w:val="23"/>
          <w:szCs w:val="23"/>
        </w:rPr>
        <w:t>FPA</w:t>
      </w:r>
      <w:r w:rsidRPr="008B27B3">
        <w:rPr>
          <w:rFonts w:ascii="Arial" w:eastAsia="宋体" w:hAnsi="Arial" w:cs="Arial" w:hint="eastAsia"/>
          <w:b/>
          <w:bCs/>
          <w:sz w:val="23"/>
          <w:szCs w:val="23"/>
        </w:rPr>
        <w:t>中的非传统融资保持稳定。</w:t>
      </w:r>
      <w:r w:rsidRPr="008B27B3">
        <w:rPr>
          <w:rFonts w:ascii="Arial" w:eastAsia="宋体" w:hAnsi="Arial" w:cs="Arial" w:hint="eastAsia"/>
          <w:sz w:val="23"/>
          <w:szCs w:val="23"/>
        </w:rPr>
        <w:t>截至报告期末，本公司公司客户融资总量（</w:t>
      </w:r>
      <w:r w:rsidRPr="008B27B3">
        <w:rPr>
          <w:rFonts w:ascii="Arial" w:eastAsia="宋体" w:hAnsi="Arial" w:cs="Arial"/>
          <w:sz w:val="23"/>
          <w:szCs w:val="23"/>
        </w:rPr>
        <w:t>FPA</w:t>
      </w:r>
      <w:r w:rsidRPr="008B27B3">
        <w:rPr>
          <w:rFonts w:ascii="Arial" w:eastAsia="宋体" w:hAnsi="Arial" w:cs="Arial" w:hint="eastAsia"/>
          <w:sz w:val="23"/>
          <w:szCs w:val="23"/>
        </w:rPr>
        <w:t>）中</w:t>
      </w:r>
      <w:r w:rsidRPr="008B27B3">
        <w:rPr>
          <w:rFonts w:ascii="Arial" w:eastAsia="宋体" w:hAnsi="Arial" w:cs="Arial" w:hint="eastAsia"/>
          <w:bCs/>
          <w:sz w:val="23"/>
          <w:szCs w:val="23"/>
        </w:rPr>
        <w:t>非传统融资</w:t>
      </w:r>
      <w:r w:rsidRPr="008B27B3">
        <w:rPr>
          <w:rStyle w:val="af"/>
          <w:rFonts w:ascii="Arial" w:eastAsia="宋体" w:hAnsi="Arial" w:cs="Arial"/>
          <w:bCs/>
          <w:sz w:val="23"/>
          <w:szCs w:val="23"/>
        </w:rPr>
        <w:footnoteReference w:id="3"/>
      </w:r>
      <w:r w:rsidRPr="008B27B3">
        <w:rPr>
          <w:rFonts w:ascii="Arial" w:eastAsia="宋体" w:hAnsi="Arial" w:cs="Arial" w:hint="eastAsia"/>
          <w:bCs/>
          <w:sz w:val="23"/>
          <w:szCs w:val="23"/>
        </w:rPr>
        <w:t>余额</w:t>
      </w:r>
      <w:r w:rsidRPr="008B27B3">
        <w:rPr>
          <w:rFonts w:ascii="Arial" w:eastAsia="宋体" w:hAnsi="Arial" w:cs="Arial"/>
          <w:bCs/>
          <w:sz w:val="23"/>
          <w:szCs w:val="23"/>
        </w:rPr>
        <w:t>24,484.06</w:t>
      </w:r>
      <w:r w:rsidRPr="008B27B3">
        <w:rPr>
          <w:rFonts w:ascii="Arial" w:eastAsia="宋体" w:hAnsi="Arial" w:cs="Arial" w:hint="eastAsia"/>
          <w:bCs/>
          <w:sz w:val="23"/>
          <w:szCs w:val="23"/>
        </w:rPr>
        <w:t>亿元，较年初增加</w:t>
      </w:r>
      <w:r w:rsidRPr="008B27B3">
        <w:rPr>
          <w:rFonts w:ascii="Arial" w:eastAsia="宋体" w:hAnsi="Arial" w:cs="Arial"/>
          <w:bCs/>
          <w:sz w:val="23"/>
          <w:szCs w:val="23"/>
        </w:rPr>
        <w:t>1,585.23</w:t>
      </w:r>
      <w:r w:rsidRPr="008B27B3">
        <w:rPr>
          <w:rFonts w:ascii="Arial" w:eastAsia="宋体" w:hAnsi="Arial" w:cs="Arial" w:hint="eastAsia"/>
          <w:bCs/>
          <w:sz w:val="23"/>
          <w:szCs w:val="23"/>
        </w:rPr>
        <w:t>亿元。非传统融资余额占</w:t>
      </w:r>
      <w:r w:rsidRPr="008B27B3">
        <w:rPr>
          <w:rFonts w:ascii="Arial" w:eastAsia="宋体" w:hAnsi="Arial" w:cs="Arial"/>
          <w:bCs/>
          <w:sz w:val="23"/>
          <w:szCs w:val="23"/>
        </w:rPr>
        <w:t>FPA</w:t>
      </w:r>
      <w:r w:rsidRPr="008B27B3">
        <w:rPr>
          <w:rFonts w:ascii="Arial" w:eastAsia="宋体" w:hAnsi="Arial" w:cs="Arial" w:hint="eastAsia"/>
          <w:bCs/>
          <w:sz w:val="23"/>
          <w:szCs w:val="23"/>
        </w:rPr>
        <w:t>余额的比例为</w:t>
      </w:r>
      <w:r w:rsidRPr="008B27B3">
        <w:rPr>
          <w:rFonts w:ascii="Arial" w:eastAsia="宋体" w:hAnsi="Arial" w:cs="Arial"/>
          <w:bCs/>
          <w:sz w:val="23"/>
          <w:szCs w:val="23"/>
        </w:rPr>
        <w:t>44.54%</w:t>
      </w:r>
      <w:r w:rsidRPr="008B27B3">
        <w:rPr>
          <w:rFonts w:ascii="Arial" w:eastAsia="宋体" w:hAnsi="Arial" w:cs="Arial" w:hint="eastAsia"/>
          <w:bCs/>
          <w:sz w:val="23"/>
          <w:szCs w:val="23"/>
        </w:rPr>
        <w:t>。</w:t>
      </w:r>
    </w:p>
    <w:p w14:paraId="6BE7ECEE" w14:textId="77777777" w:rsidR="008B27B3" w:rsidRPr="008B27B3" w:rsidRDefault="008B27B3" w:rsidP="008B27B3">
      <w:pPr>
        <w:widowControl w:val="0"/>
        <w:autoSpaceDE w:val="0"/>
        <w:autoSpaceDN w:val="0"/>
        <w:adjustRightInd w:val="0"/>
        <w:spacing w:after="0" w:line="240" w:lineRule="auto"/>
        <w:ind w:left="360"/>
        <w:jc w:val="both"/>
        <w:rPr>
          <w:rFonts w:ascii="Arial" w:eastAsia="宋体" w:hAnsi="Arial" w:cs="Arial"/>
          <w:color w:val="000000"/>
          <w:sz w:val="23"/>
          <w:szCs w:val="23"/>
          <w:highlight w:val="yellow"/>
          <w:lang w:val="en-US"/>
        </w:rPr>
      </w:pPr>
    </w:p>
    <w:p w14:paraId="3B794685" w14:textId="6E496B30" w:rsidR="008B27B3" w:rsidRPr="0016149B" w:rsidRDefault="008B27B3" w:rsidP="008B27B3">
      <w:pPr>
        <w:widowControl w:val="0"/>
        <w:autoSpaceDE w:val="0"/>
        <w:autoSpaceDN w:val="0"/>
        <w:adjustRightInd w:val="0"/>
        <w:spacing w:after="0" w:line="240" w:lineRule="auto"/>
        <w:ind w:left="360"/>
        <w:jc w:val="both"/>
        <w:rPr>
          <w:rFonts w:ascii="Arial" w:eastAsia="宋体" w:hAnsi="Arial" w:cs="Arial"/>
          <w:b/>
          <w:bCs/>
          <w:color w:val="000000"/>
          <w:sz w:val="23"/>
          <w:szCs w:val="23"/>
          <w:lang w:val="en-US"/>
        </w:rPr>
      </w:pPr>
      <w:r w:rsidRPr="0016149B">
        <w:rPr>
          <w:rFonts w:ascii="Arial" w:eastAsia="宋体" w:hAnsi="Arial" w:cs="Arial" w:hint="eastAsia"/>
          <w:b/>
          <w:bCs/>
          <w:color w:val="000000"/>
          <w:sz w:val="23"/>
          <w:szCs w:val="23"/>
          <w:lang w:val="en-US"/>
        </w:rPr>
        <w:t>资产管理业务保持韧性。</w:t>
      </w:r>
      <w:r w:rsidRPr="0016149B">
        <w:rPr>
          <w:rFonts w:ascii="Arial" w:eastAsia="宋体" w:hAnsi="Arial" w:cs="Arial" w:hint="eastAsia"/>
          <w:color w:val="000000"/>
          <w:sz w:val="23"/>
          <w:szCs w:val="23"/>
          <w:lang w:val="en-US"/>
        </w:rPr>
        <w:t>截至报告期末，本公司子公司招银理财、招商基金、</w:t>
      </w:r>
      <w:proofErr w:type="gramStart"/>
      <w:r w:rsidRPr="0016149B">
        <w:rPr>
          <w:rFonts w:ascii="Arial" w:eastAsia="宋体" w:hAnsi="Arial" w:cs="Arial" w:hint="eastAsia"/>
          <w:color w:val="000000"/>
          <w:sz w:val="23"/>
          <w:szCs w:val="23"/>
          <w:lang w:val="en-US"/>
        </w:rPr>
        <w:t>招商信诺资管</w:t>
      </w:r>
      <w:proofErr w:type="gramEnd"/>
      <w:r w:rsidRPr="0016149B">
        <w:rPr>
          <w:rFonts w:ascii="Arial" w:eastAsia="宋体" w:hAnsi="Arial" w:cs="Arial" w:hint="eastAsia"/>
          <w:color w:val="000000"/>
          <w:sz w:val="23"/>
          <w:szCs w:val="23"/>
          <w:lang w:val="en-US"/>
        </w:rPr>
        <w:t>和招银国际</w:t>
      </w:r>
      <w:proofErr w:type="gramStart"/>
      <w:r w:rsidRPr="0016149B">
        <w:rPr>
          <w:rFonts w:ascii="Arial" w:eastAsia="宋体" w:hAnsi="Arial" w:cs="Arial" w:hint="eastAsia"/>
          <w:color w:val="000000"/>
          <w:sz w:val="23"/>
          <w:szCs w:val="23"/>
          <w:lang w:val="en-US"/>
        </w:rPr>
        <w:t>的资管业务</w:t>
      </w:r>
      <w:proofErr w:type="gramEnd"/>
      <w:r w:rsidRPr="0016149B">
        <w:rPr>
          <w:rFonts w:ascii="Arial" w:eastAsia="宋体" w:hAnsi="Arial" w:cs="Arial" w:hint="eastAsia"/>
          <w:color w:val="000000"/>
          <w:sz w:val="23"/>
          <w:szCs w:val="23"/>
          <w:lang w:val="en-US"/>
        </w:rPr>
        <w:t>总规模合计为</w:t>
      </w:r>
      <w:r w:rsidRPr="0016149B">
        <w:rPr>
          <w:rFonts w:ascii="Arial" w:eastAsia="宋体" w:hAnsi="Arial" w:cs="Arial"/>
          <w:color w:val="000000"/>
          <w:sz w:val="23"/>
          <w:szCs w:val="23"/>
          <w:lang w:val="en-US"/>
        </w:rPr>
        <w:t>4.41</w:t>
      </w:r>
      <w:proofErr w:type="gramStart"/>
      <w:r w:rsidRPr="0016149B">
        <w:rPr>
          <w:rFonts w:ascii="Arial" w:eastAsia="宋体" w:hAnsi="Arial" w:cs="Arial" w:hint="eastAsia"/>
          <w:color w:val="000000"/>
          <w:sz w:val="23"/>
          <w:szCs w:val="23"/>
          <w:lang w:val="en-US"/>
        </w:rPr>
        <w:t>万亿</w:t>
      </w:r>
      <w:proofErr w:type="gramEnd"/>
      <w:r w:rsidRPr="0016149B">
        <w:rPr>
          <w:rFonts w:ascii="Arial" w:eastAsia="宋体" w:hAnsi="Arial" w:cs="Arial" w:hint="eastAsia"/>
          <w:color w:val="000000"/>
          <w:sz w:val="23"/>
          <w:szCs w:val="23"/>
          <w:lang w:val="en-US"/>
        </w:rPr>
        <w:t>元</w:t>
      </w:r>
      <w:r w:rsidRPr="0016149B">
        <w:rPr>
          <w:rStyle w:val="af"/>
          <w:rFonts w:ascii="Arial" w:eastAsia="宋体" w:hAnsi="Arial" w:cs="Arial"/>
          <w:color w:val="000000"/>
          <w:sz w:val="23"/>
          <w:szCs w:val="23"/>
          <w:lang w:val="en-US"/>
        </w:rPr>
        <w:footnoteReference w:id="4"/>
      </w:r>
      <w:r w:rsidRPr="0016149B">
        <w:rPr>
          <w:rFonts w:ascii="Arial" w:eastAsia="宋体" w:hAnsi="Arial" w:cs="Arial" w:hint="eastAsia"/>
          <w:color w:val="000000"/>
          <w:sz w:val="23"/>
          <w:szCs w:val="23"/>
          <w:lang w:val="en-US"/>
        </w:rPr>
        <w:t>，与上年</w:t>
      </w:r>
      <w:r w:rsidR="00884499">
        <w:rPr>
          <w:rFonts w:ascii="Arial" w:eastAsia="宋体" w:hAnsi="Arial" w:cs="Arial" w:hint="eastAsia"/>
          <w:color w:val="000000"/>
          <w:sz w:val="23"/>
          <w:szCs w:val="23"/>
          <w:lang w:val="en-US"/>
        </w:rPr>
        <w:t>末</w:t>
      </w:r>
      <w:r w:rsidRPr="0016149B">
        <w:rPr>
          <w:rFonts w:ascii="Arial" w:eastAsia="宋体" w:hAnsi="Arial" w:cs="Arial" w:hint="eastAsia"/>
          <w:color w:val="000000"/>
          <w:sz w:val="23"/>
          <w:szCs w:val="23"/>
          <w:lang w:val="en-US"/>
        </w:rPr>
        <w:t>基本持平，</w:t>
      </w:r>
      <w:r w:rsidR="0016149B" w:rsidRPr="0016149B">
        <w:rPr>
          <w:rFonts w:ascii="Arial" w:eastAsia="宋体" w:hAnsi="Arial" w:cs="Arial" w:hint="eastAsia"/>
          <w:color w:val="000000"/>
          <w:sz w:val="23"/>
          <w:szCs w:val="23"/>
          <w:lang w:val="en-US"/>
        </w:rPr>
        <w:t>继续位居市场前列。</w:t>
      </w:r>
      <w:r w:rsidRPr="0016149B">
        <w:rPr>
          <w:rFonts w:ascii="Arial" w:eastAsia="宋体" w:hAnsi="Arial" w:cs="Arial"/>
          <w:color w:val="000000"/>
          <w:sz w:val="23"/>
          <w:szCs w:val="23"/>
          <w:lang w:val="en-US"/>
        </w:rPr>
        <w:t>其中，招银理财管理的理财产品余额</w:t>
      </w:r>
      <w:r w:rsidRPr="0016149B">
        <w:rPr>
          <w:rFonts w:ascii="Arial" w:eastAsia="宋体" w:hAnsi="Arial" w:cs="Arial"/>
          <w:color w:val="000000"/>
          <w:sz w:val="23"/>
          <w:szCs w:val="23"/>
          <w:lang w:val="en-US"/>
        </w:rPr>
        <w:t>2.53</w:t>
      </w:r>
      <w:proofErr w:type="gramStart"/>
      <w:r w:rsidRPr="0016149B">
        <w:rPr>
          <w:rFonts w:ascii="Arial" w:eastAsia="宋体" w:hAnsi="Arial" w:cs="Arial"/>
          <w:color w:val="000000"/>
          <w:sz w:val="23"/>
          <w:szCs w:val="23"/>
          <w:lang w:val="en-US"/>
        </w:rPr>
        <w:t>万亿</w:t>
      </w:r>
      <w:proofErr w:type="gramEnd"/>
      <w:r w:rsidRPr="0016149B">
        <w:rPr>
          <w:rFonts w:ascii="Arial" w:eastAsia="宋体" w:hAnsi="Arial" w:cs="Arial"/>
          <w:color w:val="000000"/>
          <w:sz w:val="23"/>
          <w:szCs w:val="23"/>
          <w:lang w:val="en-US"/>
        </w:rPr>
        <w:t>元，较上年末下降</w:t>
      </w:r>
      <w:r w:rsidRPr="0016149B">
        <w:rPr>
          <w:rFonts w:ascii="Arial" w:eastAsia="宋体" w:hAnsi="Arial" w:cs="Arial"/>
          <w:color w:val="000000"/>
          <w:sz w:val="23"/>
          <w:szCs w:val="23"/>
          <w:lang w:val="en-US"/>
        </w:rPr>
        <w:t>5.24%</w:t>
      </w:r>
      <w:r w:rsidR="0016149B" w:rsidRPr="0016149B">
        <w:rPr>
          <w:rFonts w:ascii="Arial" w:eastAsia="宋体" w:hAnsi="Arial" w:cs="Arial" w:hint="eastAsia"/>
          <w:color w:val="000000"/>
          <w:sz w:val="23"/>
          <w:szCs w:val="23"/>
          <w:lang w:val="en-US"/>
        </w:rPr>
        <w:t>，</w:t>
      </w:r>
      <w:r w:rsidR="00884499" w:rsidRPr="00884499">
        <w:rPr>
          <w:rFonts w:ascii="Arial" w:eastAsia="宋体" w:hAnsi="Arial" w:cs="Arial" w:hint="eastAsia"/>
          <w:color w:val="000000"/>
          <w:sz w:val="23"/>
          <w:szCs w:val="23"/>
          <w:lang w:val="en-US"/>
        </w:rPr>
        <w:t>但较一季度末增加</w:t>
      </w:r>
      <w:r w:rsidR="00884499" w:rsidRPr="00884499">
        <w:rPr>
          <w:rFonts w:ascii="Arial" w:eastAsia="宋体" w:hAnsi="Arial" w:cs="Arial"/>
          <w:color w:val="000000"/>
          <w:sz w:val="23"/>
          <w:szCs w:val="23"/>
          <w:lang w:val="en-US"/>
        </w:rPr>
        <w:t>726.22</w:t>
      </w:r>
      <w:r w:rsidR="00884499" w:rsidRPr="00884499">
        <w:rPr>
          <w:rFonts w:ascii="Arial" w:eastAsia="宋体" w:hAnsi="Arial" w:cs="Arial"/>
          <w:color w:val="000000"/>
          <w:sz w:val="23"/>
          <w:szCs w:val="23"/>
          <w:lang w:val="en-US"/>
        </w:rPr>
        <w:t>亿元</w:t>
      </w:r>
      <w:r w:rsidR="00884499">
        <w:rPr>
          <w:rFonts w:ascii="Arial" w:eastAsia="宋体" w:hAnsi="Arial" w:cs="Arial" w:hint="eastAsia"/>
          <w:color w:val="000000"/>
          <w:sz w:val="23"/>
          <w:szCs w:val="23"/>
          <w:lang w:val="en-US"/>
        </w:rPr>
        <w:t>，</w:t>
      </w:r>
      <w:r w:rsidR="0016149B" w:rsidRPr="0016149B">
        <w:rPr>
          <w:rFonts w:ascii="Arial" w:eastAsia="宋体" w:hAnsi="Arial" w:cs="Arial" w:hint="eastAsia"/>
          <w:color w:val="000000"/>
          <w:sz w:val="23"/>
          <w:szCs w:val="23"/>
          <w:lang w:val="en-US"/>
        </w:rPr>
        <w:t>主要是</w:t>
      </w:r>
      <w:r w:rsidR="0016149B" w:rsidRPr="0016149B">
        <w:rPr>
          <w:rFonts w:ascii="Arial" w:eastAsia="宋体" w:hAnsi="Arial" w:cs="Arial"/>
          <w:color w:val="000000"/>
          <w:sz w:val="23"/>
          <w:szCs w:val="23"/>
          <w:lang w:val="en-US"/>
        </w:rPr>
        <w:t>上半年加大现金类、短期封闭</w:t>
      </w:r>
      <w:proofErr w:type="gramStart"/>
      <w:r w:rsidR="0016149B" w:rsidRPr="0016149B">
        <w:rPr>
          <w:rFonts w:ascii="Arial" w:eastAsia="宋体" w:hAnsi="Arial" w:cs="Arial"/>
          <w:color w:val="000000"/>
          <w:sz w:val="23"/>
          <w:szCs w:val="23"/>
          <w:lang w:val="en-US"/>
        </w:rPr>
        <w:t>低波类</w:t>
      </w:r>
      <w:proofErr w:type="gramEnd"/>
      <w:r w:rsidR="0016149B" w:rsidRPr="0016149B">
        <w:rPr>
          <w:rFonts w:ascii="Arial" w:eastAsia="宋体" w:hAnsi="Arial" w:cs="Arial"/>
          <w:color w:val="000000"/>
          <w:sz w:val="23"/>
          <w:szCs w:val="23"/>
          <w:lang w:val="en-US"/>
        </w:rPr>
        <w:t>、中长期期限匹配类产品发行力度</w:t>
      </w:r>
      <w:r w:rsidRPr="0016149B">
        <w:rPr>
          <w:rFonts w:ascii="Arial" w:eastAsia="宋体" w:hAnsi="Arial" w:cs="Arial"/>
          <w:color w:val="000000"/>
          <w:sz w:val="23"/>
          <w:szCs w:val="23"/>
          <w:lang w:val="en-US"/>
        </w:rPr>
        <w:t>；招商基金</w:t>
      </w:r>
      <w:proofErr w:type="gramStart"/>
      <w:r w:rsidRPr="0016149B">
        <w:rPr>
          <w:rFonts w:ascii="Arial" w:eastAsia="宋体" w:hAnsi="Arial" w:cs="Arial"/>
          <w:color w:val="000000"/>
          <w:sz w:val="23"/>
          <w:szCs w:val="23"/>
          <w:lang w:val="en-US"/>
        </w:rPr>
        <w:t>的资管业务</w:t>
      </w:r>
      <w:proofErr w:type="gramEnd"/>
      <w:r w:rsidRPr="0016149B">
        <w:rPr>
          <w:rFonts w:ascii="Arial" w:eastAsia="宋体" w:hAnsi="Arial" w:cs="Arial"/>
          <w:color w:val="000000"/>
          <w:sz w:val="23"/>
          <w:szCs w:val="23"/>
          <w:lang w:val="en-US"/>
        </w:rPr>
        <w:t>规模</w:t>
      </w:r>
      <w:r w:rsidRPr="0016149B">
        <w:rPr>
          <w:rFonts w:ascii="Arial" w:eastAsia="宋体" w:hAnsi="Arial" w:cs="Arial"/>
          <w:color w:val="000000"/>
          <w:sz w:val="23"/>
          <w:szCs w:val="23"/>
          <w:lang w:val="en-US"/>
        </w:rPr>
        <w:t>1.55</w:t>
      </w:r>
      <w:proofErr w:type="gramStart"/>
      <w:r w:rsidRPr="0016149B">
        <w:rPr>
          <w:rFonts w:ascii="Arial" w:eastAsia="宋体" w:hAnsi="Arial" w:cs="Arial"/>
          <w:color w:val="000000"/>
          <w:sz w:val="23"/>
          <w:szCs w:val="23"/>
          <w:lang w:val="en-US"/>
        </w:rPr>
        <w:t>万亿</w:t>
      </w:r>
      <w:proofErr w:type="gramEnd"/>
      <w:r w:rsidRPr="0016149B">
        <w:rPr>
          <w:rFonts w:ascii="Arial" w:eastAsia="宋体" w:hAnsi="Arial" w:cs="Arial"/>
          <w:color w:val="000000"/>
          <w:sz w:val="23"/>
          <w:szCs w:val="23"/>
          <w:lang w:val="en-US"/>
        </w:rPr>
        <w:t>元，较上年末增长</w:t>
      </w:r>
      <w:r w:rsidRPr="0016149B">
        <w:rPr>
          <w:rFonts w:ascii="Arial" w:eastAsia="宋体" w:hAnsi="Arial" w:cs="Arial"/>
          <w:color w:val="000000"/>
          <w:sz w:val="23"/>
          <w:szCs w:val="23"/>
          <w:lang w:val="en-US"/>
        </w:rPr>
        <w:t>4.73%</w:t>
      </w:r>
      <w:r w:rsidRPr="0016149B">
        <w:rPr>
          <w:rFonts w:ascii="Arial" w:eastAsia="宋体" w:hAnsi="Arial" w:cs="Arial"/>
          <w:color w:val="000000"/>
          <w:sz w:val="23"/>
          <w:szCs w:val="23"/>
          <w:lang w:val="en-US"/>
        </w:rPr>
        <w:t>；</w:t>
      </w:r>
      <w:proofErr w:type="gramStart"/>
      <w:r w:rsidRPr="0016149B">
        <w:rPr>
          <w:rFonts w:ascii="Arial" w:eastAsia="宋体" w:hAnsi="Arial" w:cs="Arial"/>
          <w:color w:val="000000"/>
          <w:sz w:val="23"/>
          <w:szCs w:val="23"/>
          <w:lang w:val="en-US"/>
        </w:rPr>
        <w:t>招商信诺资管的资管</w:t>
      </w:r>
      <w:proofErr w:type="gramEnd"/>
      <w:r w:rsidRPr="0016149B">
        <w:rPr>
          <w:rFonts w:ascii="Arial" w:eastAsia="宋体" w:hAnsi="Arial" w:cs="Arial"/>
          <w:color w:val="000000"/>
          <w:sz w:val="23"/>
          <w:szCs w:val="23"/>
          <w:lang w:val="en-US"/>
        </w:rPr>
        <w:t>业务规模</w:t>
      </w:r>
      <w:r w:rsidRPr="0016149B">
        <w:rPr>
          <w:rFonts w:ascii="Arial" w:eastAsia="宋体" w:hAnsi="Arial" w:cs="Arial"/>
          <w:color w:val="000000"/>
          <w:sz w:val="23"/>
          <w:szCs w:val="23"/>
          <w:lang w:val="en-US"/>
        </w:rPr>
        <w:t>2,237.25</w:t>
      </w:r>
      <w:r w:rsidRPr="0016149B">
        <w:rPr>
          <w:rFonts w:ascii="Arial" w:eastAsia="宋体" w:hAnsi="Arial" w:cs="Arial"/>
          <w:color w:val="000000"/>
          <w:sz w:val="23"/>
          <w:szCs w:val="23"/>
          <w:lang w:val="en-US"/>
        </w:rPr>
        <w:t>亿元，较上年末增长</w:t>
      </w:r>
      <w:r w:rsidRPr="0016149B">
        <w:rPr>
          <w:rFonts w:ascii="Arial" w:eastAsia="宋体" w:hAnsi="Arial" w:cs="Arial"/>
          <w:color w:val="000000"/>
          <w:sz w:val="23"/>
          <w:szCs w:val="23"/>
          <w:lang w:val="en-US"/>
        </w:rPr>
        <w:t>35.81%</w:t>
      </w:r>
      <w:r w:rsidRPr="0016149B">
        <w:rPr>
          <w:rFonts w:ascii="Arial" w:eastAsia="宋体" w:hAnsi="Arial" w:cs="Arial"/>
          <w:color w:val="000000"/>
          <w:sz w:val="23"/>
          <w:szCs w:val="23"/>
          <w:lang w:val="en-US"/>
        </w:rPr>
        <w:t>；招银国际</w:t>
      </w:r>
      <w:proofErr w:type="gramStart"/>
      <w:r w:rsidRPr="0016149B">
        <w:rPr>
          <w:rFonts w:ascii="Arial" w:eastAsia="宋体" w:hAnsi="Arial" w:cs="Arial"/>
          <w:color w:val="000000"/>
          <w:sz w:val="23"/>
          <w:szCs w:val="23"/>
          <w:lang w:val="en-US"/>
        </w:rPr>
        <w:t>的资管业务</w:t>
      </w:r>
      <w:proofErr w:type="gramEnd"/>
      <w:r w:rsidRPr="0016149B">
        <w:rPr>
          <w:rFonts w:ascii="Arial" w:eastAsia="宋体" w:hAnsi="Arial" w:cs="Arial"/>
          <w:color w:val="000000"/>
          <w:sz w:val="23"/>
          <w:szCs w:val="23"/>
          <w:lang w:val="en-US"/>
        </w:rPr>
        <w:t>规模</w:t>
      </w:r>
      <w:r w:rsidRPr="0016149B">
        <w:rPr>
          <w:rFonts w:ascii="Arial" w:eastAsia="宋体" w:hAnsi="Arial" w:cs="Arial"/>
          <w:color w:val="000000"/>
          <w:sz w:val="23"/>
          <w:szCs w:val="23"/>
          <w:lang w:val="en-US"/>
        </w:rPr>
        <w:t>1,099.93</w:t>
      </w:r>
      <w:r w:rsidRPr="0016149B">
        <w:rPr>
          <w:rFonts w:ascii="Arial" w:eastAsia="宋体" w:hAnsi="Arial" w:cs="Arial"/>
          <w:color w:val="000000"/>
          <w:sz w:val="23"/>
          <w:szCs w:val="23"/>
          <w:lang w:val="en-US"/>
        </w:rPr>
        <w:t>亿元，较上年末增长</w:t>
      </w:r>
      <w:r w:rsidRPr="0016149B">
        <w:rPr>
          <w:rFonts w:ascii="Arial" w:eastAsia="宋体" w:hAnsi="Arial" w:cs="Arial"/>
          <w:color w:val="000000"/>
          <w:sz w:val="23"/>
          <w:szCs w:val="23"/>
          <w:lang w:val="en-US"/>
        </w:rPr>
        <w:t>5.44%</w:t>
      </w:r>
      <w:r w:rsidRPr="0016149B">
        <w:rPr>
          <w:rFonts w:ascii="Arial" w:eastAsia="宋体" w:hAnsi="Arial" w:cs="Arial"/>
          <w:color w:val="000000"/>
          <w:sz w:val="23"/>
          <w:szCs w:val="23"/>
          <w:lang w:val="en-US"/>
        </w:rPr>
        <w:t>。</w:t>
      </w:r>
    </w:p>
    <w:p w14:paraId="36933110" w14:textId="77777777" w:rsidR="008B27B3" w:rsidRPr="0016149B" w:rsidRDefault="008B27B3" w:rsidP="008B27B3">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p>
    <w:p w14:paraId="1BAED28B" w14:textId="3B70B266" w:rsidR="008B27B3" w:rsidRPr="00CF4670" w:rsidRDefault="008B27B3" w:rsidP="008B27B3">
      <w:pPr>
        <w:widowControl w:val="0"/>
        <w:autoSpaceDE w:val="0"/>
        <w:autoSpaceDN w:val="0"/>
        <w:adjustRightInd w:val="0"/>
        <w:spacing w:after="0" w:line="240" w:lineRule="auto"/>
        <w:ind w:left="360"/>
        <w:jc w:val="both"/>
        <w:rPr>
          <w:rFonts w:ascii="Arial" w:eastAsia="宋体" w:hAnsi="Arial" w:cs="Arial"/>
          <w:color w:val="000000"/>
          <w:sz w:val="23"/>
          <w:szCs w:val="23"/>
          <w:lang w:val="en-US"/>
        </w:rPr>
      </w:pPr>
      <w:r w:rsidRPr="0016149B">
        <w:rPr>
          <w:rFonts w:ascii="Arial" w:eastAsia="宋体" w:hAnsi="Arial" w:cs="Arial" w:hint="eastAsia"/>
          <w:b/>
          <w:bCs/>
          <w:color w:val="000000"/>
          <w:sz w:val="23"/>
          <w:szCs w:val="23"/>
          <w:lang w:val="en-US"/>
        </w:rPr>
        <w:t>托管业务规模保持领先。</w:t>
      </w:r>
      <w:r w:rsidRPr="0016149B">
        <w:rPr>
          <w:rFonts w:ascii="Arial" w:eastAsia="宋体" w:hAnsi="Arial" w:cs="Arial"/>
          <w:color w:val="000000"/>
          <w:sz w:val="23"/>
          <w:szCs w:val="23"/>
          <w:lang w:val="en-US"/>
        </w:rPr>
        <w:t>截至报告期末，本公司托管资产余额</w:t>
      </w:r>
      <w:r w:rsidRPr="0016149B">
        <w:rPr>
          <w:rFonts w:ascii="Arial" w:eastAsia="宋体" w:hAnsi="Arial" w:cs="Arial"/>
          <w:color w:val="000000"/>
          <w:sz w:val="23"/>
          <w:szCs w:val="23"/>
          <w:lang w:val="en-US"/>
        </w:rPr>
        <w:t>20.86</w:t>
      </w:r>
      <w:proofErr w:type="gramStart"/>
      <w:r w:rsidRPr="0016149B">
        <w:rPr>
          <w:rFonts w:ascii="Arial" w:eastAsia="宋体" w:hAnsi="Arial" w:cs="Arial"/>
          <w:color w:val="000000"/>
          <w:sz w:val="23"/>
          <w:szCs w:val="23"/>
          <w:lang w:val="en-US"/>
        </w:rPr>
        <w:t>万亿</w:t>
      </w:r>
      <w:proofErr w:type="gramEnd"/>
      <w:r w:rsidRPr="0016149B">
        <w:rPr>
          <w:rFonts w:ascii="Arial" w:eastAsia="宋体" w:hAnsi="Arial" w:cs="Arial"/>
          <w:color w:val="000000"/>
          <w:sz w:val="23"/>
          <w:szCs w:val="23"/>
          <w:lang w:val="en-US"/>
        </w:rPr>
        <w:t>元，较上年末增</w:t>
      </w:r>
      <w:r w:rsidRPr="0016149B">
        <w:rPr>
          <w:rFonts w:ascii="Arial" w:eastAsia="宋体" w:hAnsi="Arial" w:cs="Arial"/>
          <w:color w:val="000000"/>
          <w:sz w:val="23"/>
          <w:szCs w:val="23"/>
          <w:lang w:val="en-US"/>
        </w:rPr>
        <w:lastRenderedPageBreak/>
        <w:t>长</w:t>
      </w:r>
      <w:r w:rsidRPr="0016149B">
        <w:rPr>
          <w:rFonts w:ascii="Arial" w:eastAsia="宋体" w:hAnsi="Arial" w:cs="Arial"/>
          <w:color w:val="000000"/>
          <w:sz w:val="23"/>
          <w:szCs w:val="23"/>
          <w:lang w:val="en-US"/>
        </w:rPr>
        <w:t>3.99%</w:t>
      </w:r>
      <w:r w:rsidRPr="0016149B">
        <w:rPr>
          <w:rFonts w:ascii="Arial" w:eastAsia="宋体" w:hAnsi="Arial" w:cs="Arial"/>
          <w:color w:val="000000"/>
          <w:sz w:val="23"/>
          <w:szCs w:val="23"/>
          <w:lang w:val="en-US"/>
        </w:rPr>
        <w:t>，托管总规模居行业第一（</w:t>
      </w:r>
      <w:r w:rsidRPr="0016149B">
        <w:rPr>
          <w:rFonts w:ascii="Arial" w:eastAsia="宋体" w:hAnsi="Arial" w:cs="Arial"/>
          <w:color w:val="000000"/>
          <w:sz w:val="23"/>
          <w:szCs w:val="23"/>
          <w:lang w:val="en-US"/>
        </w:rPr>
        <w:t>WIND</w:t>
      </w:r>
      <w:r w:rsidRPr="0016149B">
        <w:rPr>
          <w:rFonts w:ascii="Arial" w:eastAsia="宋体" w:hAnsi="Arial" w:cs="Arial"/>
          <w:color w:val="000000"/>
          <w:sz w:val="23"/>
          <w:szCs w:val="23"/>
          <w:lang w:val="en-US"/>
        </w:rPr>
        <w:t>数据），市场份额较上年末上升。</w:t>
      </w:r>
    </w:p>
    <w:p w14:paraId="14FF82D3" w14:textId="77777777" w:rsidR="00CF4670" w:rsidRPr="00CF4670" w:rsidRDefault="00CF4670" w:rsidP="00CF4670">
      <w:pPr>
        <w:widowControl w:val="0"/>
        <w:autoSpaceDE w:val="0"/>
        <w:autoSpaceDN w:val="0"/>
        <w:adjustRightInd w:val="0"/>
        <w:spacing w:after="0" w:line="240" w:lineRule="auto"/>
        <w:ind w:left="360"/>
        <w:jc w:val="both"/>
        <w:rPr>
          <w:rFonts w:ascii="Arial" w:eastAsia="宋体" w:hAnsi="Arial" w:cs="Arial"/>
          <w:b/>
          <w:bCs/>
          <w:color w:val="000000"/>
          <w:sz w:val="23"/>
          <w:szCs w:val="23"/>
          <w:lang w:val="en-US"/>
        </w:rPr>
      </w:pPr>
    </w:p>
    <w:p w14:paraId="332D259F" w14:textId="16E6EA4B" w:rsidR="00CF4670" w:rsidRPr="00CF4670" w:rsidRDefault="00CF4670" w:rsidP="00CF4670">
      <w:pPr>
        <w:widowControl w:val="0"/>
        <w:numPr>
          <w:ilvl w:val="0"/>
          <w:numId w:val="5"/>
        </w:numPr>
        <w:spacing w:after="0" w:line="240" w:lineRule="auto"/>
        <w:ind w:left="426" w:hanging="426"/>
        <w:jc w:val="both"/>
        <w:rPr>
          <w:rFonts w:ascii="Arial" w:eastAsia="宋体" w:hAnsi="Arial" w:cs="Arial"/>
          <w:b/>
          <w:bCs/>
          <w:color w:val="000000"/>
          <w:sz w:val="23"/>
          <w:szCs w:val="23"/>
          <w:lang w:val="en-US"/>
        </w:rPr>
      </w:pPr>
      <w:r w:rsidRPr="00CF4670">
        <w:rPr>
          <w:rFonts w:ascii="Arial" w:eastAsia="宋体" w:hAnsi="Arial" w:cs="Arial"/>
          <w:b/>
          <w:bCs/>
          <w:color w:val="000000"/>
          <w:sz w:val="23"/>
          <w:szCs w:val="23"/>
          <w:lang w:val="en-US"/>
        </w:rPr>
        <w:t xml:space="preserve"> </w:t>
      </w:r>
      <w:r w:rsidRPr="00CF4670">
        <w:rPr>
          <w:rFonts w:ascii="Arial" w:eastAsia="宋体" w:hAnsi="Arial" w:cs="Arial" w:hint="eastAsia"/>
          <w:b/>
          <w:bCs/>
          <w:color w:val="000000"/>
          <w:sz w:val="23"/>
          <w:szCs w:val="23"/>
          <w:lang w:val="en-US"/>
        </w:rPr>
        <w:t>“数字招行”建设纵深推进</w:t>
      </w:r>
    </w:p>
    <w:p w14:paraId="47E4D0BD" w14:textId="54B51AAA" w:rsidR="00CF4670" w:rsidRDefault="0094250E" w:rsidP="009432A2">
      <w:pPr>
        <w:widowControl w:val="0"/>
        <w:spacing w:after="0" w:line="240" w:lineRule="auto"/>
        <w:ind w:left="426"/>
        <w:jc w:val="both"/>
        <w:rPr>
          <w:rFonts w:ascii="Arial" w:eastAsia="宋体" w:hAnsi="Arial" w:cs="Arial"/>
          <w:sz w:val="23"/>
          <w:szCs w:val="23"/>
        </w:rPr>
      </w:pPr>
      <w:r w:rsidRPr="00F92F42">
        <w:rPr>
          <w:rFonts w:ascii="Arial" w:eastAsia="宋体" w:hAnsi="Arial" w:cs="Arial" w:hint="eastAsia"/>
          <w:color w:val="000000"/>
          <w:sz w:val="23"/>
          <w:szCs w:val="23"/>
          <w:lang w:val="en-US"/>
        </w:rPr>
        <w:t>本公司</w:t>
      </w:r>
      <w:r w:rsidR="00CF4670" w:rsidRPr="00F92F42">
        <w:rPr>
          <w:rFonts w:ascii="Arial" w:eastAsia="宋体" w:hAnsi="Arial" w:cs="Arial" w:hint="eastAsia"/>
          <w:color w:val="000000"/>
          <w:sz w:val="23"/>
          <w:szCs w:val="23"/>
          <w:lang w:val="en-US"/>
        </w:rPr>
        <w:t>围绕线上化、数据化、智能化、平台化、生态化方向，不断提升“人</w:t>
      </w:r>
      <w:r w:rsidR="00CF4670" w:rsidRPr="00F92F42">
        <w:rPr>
          <w:rFonts w:ascii="Arial" w:eastAsia="宋体" w:hAnsi="Arial" w:cs="Arial"/>
          <w:color w:val="000000"/>
          <w:sz w:val="23"/>
          <w:szCs w:val="23"/>
          <w:lang w:val="en-US"/>
        </w:rPr>
        <w:t>+</w:t>
      </w:r>
      <w:r w:rsidR="00CF4670" w:rsidRPr="00F92F42">
        <w:rPr>
          <w:rFonts w:ascii="Arial" w:eastAsia="宋体" w:hAnsi="Arial" w:cs="Arial" w:hint="eastAsia"/>
          <w:color w:val="000000"/>
          <w:sz w:val="23"/>
          <w:szCs w:val="23"/>
          <w:lang w:val="en-US"/>
        </w:rPr>
        <w:t>数字化”服务水平。</w:t>
      </w:r>
      <w:r w:rsidR="00CF4670" w:rsidRPr="009432A2">
        <w:rPr>
          <w:rFonts w:ascii="Arial" w:eastAsia="宋体" w:hAnsi="Arial" w:cs="Arial" w:hint="eastAsia"/>
          <w:color w:val="000000"/>
          <w:sz w:val="23"/>
          <w:szCs w:val="23"/>
          <w:lang w:val="en-US"/>
        </w:rPr>
        <w:t>费用投入方面，报告期内，本公司信息科技投入</w:t>
      </w:r>
      <w:r w:rsidR="00CF4670" w:rsidRPr="009432A2">
        <w:rPr>
          <w:rFonts w:ascii="Arial" w:eastAsia="宋体" w:hAnsi="Arial" w:cs="Arial"/>
          <w:color w:val="000000"/>
          <w:sz w:val="23"/>
          <w:szCs w:val="23"/>
          <w:lang w:val="en-US"/>
        </w:rPr>
        <w:t>52.06</w:t>
      </w:r>
      <w:r w:rsidR="00CF4670" w:rsidRPr="009432A2">
        <w:rPr>
          <w:rFonts w:ascii="Arial" w:eastAsia="宋体" w:hAnsi="Arial" w:cs="Arial" w:hint="eastAsia"/>
          <w:color w:val="000000"/>
          <w:sz w:val="23"/>
          <w:szCs w:val="23"/>
          <w:lang w:val="en-US"/>
        </w:rPr>
        <w:t>亿元，是本公司营业收入的</w:t>
      </w:r>
      <w:r w:rsidR="00CF4670" w:rsidRPr="009432A2">
        <w:rPr>
          <w:rFonts w:ascii="Arial" w:eastAsia="宋体" w:hAnsi="Arial" w:cs="Arial"/>
          <w:color w:val="000000"/>
          <w:sz w:val="23"/>
          <w:szCs w:val="23"/>
          <w:lang w:val="en-US"/>
        </w:rPr>
        <w:t>3.21%</w:t>
      </w:r>
      <w:r w:rsidR="00CF4670" w:rsidRPr="009432A2">
        <w:rPr>
          <w:rFonts w:ascii="Arial" w:eastAsia="宋体" w:hAnsi="Arial" w:cs="Arial" w:hint="eastAsia"/>
          <w:color w:val="000000"/>
          <w:sz w:val="23"/>
          <w:szCs w:val="23"/>
          <w:lang w:val="en-US"/>
        </w:rPr>
        <w:t>。</w:t>
      </w:r>
      <w:r w:rsidR="00CF4670" w:rsidRPr="009432A2">
        <w:rPr>
          <w:rFonts w:ascii="Arial" w:eastAsia="宋体" w:hAnsi="Arial" w:cs="Arial" w:hint="eastAsia"/>
          <w:sz w:val="23"/>
          <w:szCs w:val="23"/>
        </w:rPr>
        <w:t>零售金融数字化服务方面，</w:t>
      </w:r>
      <w:r w:rsidR="00CF4670" w:rsidRPr="009432A2">
        <w:rPr>
          <w:rFonts w:ascii="Arial" w:eastAsia="宋体" w:hAnsi="Arial" w:cs="Arial"/>
          <w:sz w:val="23"/>
          <w:szCs w:val="23"/>
        </w:rPr>
        <w:t>招商银行</w:t>
      </w:r>
      <w:r w:rsidR="00CF4670" w:rsidRPr="009432A2">
        <w:rPr>
          <w:rFonts w:ascii="Arial" w:eastAsia="宋体" w:hAnsi="Arial" w:cs="Arial"/>
          <w:sz w:val="23"/>
          <w:szCs w:val="23"/>
        </w:rPr>
        <w:t>App</w:t>
      </w:r>
      <w:r w:rsidR="00CF4670" w:rsidRPr="009432A2">
        <w:rPr>
          <w:rFonts w:ascii="Arial" w:eastAsia="宋体" w:hAnsi="Arial" w:cs="Arial"/>
          <w:sz w:val="23"/>
          <w:szCs w:val="23"/>
        </w:rPr>
        <w:t>和掌上生活</w:t>
      </w:r>
      <w:r w:rsidR="00CF4670" w:rsidRPr="009432A2">
        <w:rPr>
          <w:rFonts w:ascii="Arial" w:eastAsia="宋体" w:hAnsi="Arial" w:cs="Arial"/>
          <w:sz w:val="23"/>
          <w:szCs w:val="23"/>
        </w:rPr>
        <w:t>App</w:t>
      </w:r>
      <w:proofErr w:type="gramStart"/>
      <w:r w:rsidR="00CF4670" w:rsidRPr="009432A2">
        <w:rPr>
          <w:rFonts w:ascii="Arial" w:eastAsia="宋体" w:hAnsi="Arial" w:cs="Arial"/>
          <w:sz w:val="23"/>
          <w:szCs w:val="23"/>
        </w:rPr>
        <w:t>月活跃</w:t>
      </w:r>
      <w:proofErr w:type="gramEnd"/>
      <w:r w:rsidR="00CF4670" w:rsidRPr="009432A2">
        <w:rPr>
          <w:rFonts w:ascii="Arial" w:eastAsia="宋体" w:hAnsi="Arial" w:cs="Arial"/>
          <w:sz w:val="23"/>
          <w:szCs w:val="23"/>
        </w:rPr>
        <w:t>用户（</w:t>
      </w:r>
      <w:r w:rsidR="00CF4670" w:rsidRPr="009432A2">
        <w:rPr>
          <w:rFonts w:ascii="Arial" w:eastAsia="宋体" w:hAnsi="Arial" w:cs="Arial"/>
          <w:sz w:val="23"/>
          <w:szCs w:val="23"/>
        </w:rPr>
        <w:t>MAU</w:t>
      </w:r>
      <w:r w:rsidR="00CF4670" w:rsidRPr="009432A2">
        <w:rPr>
          <w:rFonts w:ascii="Arial" w:eastAsia="宋体" w:hAnsi="Arial" w:cs="Arial"/>
          <w:sz w:val="23"/>
          <w:szCs w:val="23"/>
        </w:rPr>
        <w:t>）达</w:t>
      </w:r>
      <w:r w:rsidR="00CF4670" w:rsidRPr="009432A2">
        <w:rPr>
          <w:rFonts w:ascii="Arial" w:eastAsia="宋体" w:hAnsi="Arial" w:cs="Arial"/>
          <w:sz w:val="23"/>
          <w:szCs w:val="23"/>
        </w:rPr>
        <w:t>1.11</w:t>
      </w:r>
      <w:r w:rsidR="00CF4670" w:rsidRPr="009432A2">
        <w:rPr>
          <w:rFonts w:ascii="Arial" w:eastAsia="宋体" w:hAnsi="Arial" w:cs="Arial"/>
          <w:sz w:val="23"/>
          <w:szCs w:val="23"/>
        </w:rPr>
        <w:t>亿户，通过智能财富助理</w:t>
      </w:r>
      <w:r w:rsidR="00CF4670" w:rsidRPr="009432A2">
        <w:rPr>
          <w:rFonts w:ascii="Arial" w:eastAsia="宋体" w:hAnsi="Arial" w:cs="Arial"/>
          <w:sz w:val="23"/>
          <w:szCs w:val="23"/>
        </w:rPr>
        <w:t>“AI</w:t>
      </w:r>
      <w:r w:rsidR="00CF4670" w:rsidRPr="009432A2">
        <w:rPr>
          <w:rFonts w:ascii="Arial" w:eastAsia="宋体" w:hAnsi="Arial" w:cs="Arial"/>
          <w:sz w:val="23"/>
          <w:szCs w:val="23"/>
        </w:rPr>
        <w:t>小招</w:t>
      </w:r>
      <w:r w:rsidR="00CF4670" w:rsidRPr="009432A2">
        <w:rPr>
          <w:rFonts w:ascii="Arial" w:eastAsia="宋体" w:hAnsi="Arial" w:cs="Arial"/>
          <w:sz w:val="23"/>
          <w:szCs w:val="23"/>
        </w:rPr>
        <w:t>”</w:t>
      </w:r>
      <w:r w:rsidR="00CF4670" w:rsidRPr="009432A2">
        <w:rPr>
          <w:rFonts w:ascii="Arial" w:eastAsia="宋体" w:hAnsi="Arial" w:cs="Arial"/>
          <w:sz w:val="23"/>
          <w:szCs w:val="23"/>
        </w:rPr>
        <w:t>为零售客户提供更便捷多样的服务，</w:t>
      </w:r>
      <w:r w:rsidR="00AB4B8A" w:rsidRPr="009432A2" w:rsidDel="00AB4B8A">
        <w:rPr>
          <w:rFonts w:ascii="Arial" w:eastAsia="宋体" w:hAnsi="Arial" w:cs="Arial"/>
          <w:sz w:val="23"/>
          <w:szCs w:val="23"/>
        </w:rPr>
        <w:t xml:space="preserve"> </w:t>
      </w:r>
      <w:r w:rsidR="00EA22A2">
        <w:rPr>
          <w:rFonts w:ascii="Arial" w:eastAsia="宋体" w:hAnsi="Arial" w:cs="Arial" w:hint="eastAsia"/>
          <w:sz w:val="23"/>
          <w:szCs w:val="23"/>
        </w:rPr>
        <w:t>“</w:t>
      </w:r>
      <w:r w:rsidR="00EA22A2" w:rsidRPr="009432A2">
        <w:rPr>
          <w:rFonts w:ascii="Arial" w:eastAsia="宋体" w:hAnsi="Arial" w:cs="Arial"/>
          <w:sz w:val="23"/>
          <w:szCs w:val="23"/>
        </w:rPr>
        <w:t>AI</w:t>
      </w:r>
      <w:r w:rsidR="00EA22A2" w:rsidRPr="009432A2">
        <w:rPr>
          <w:rFonts w:ascii="Arial" w:eastAsia="宋体" w:hAnsi="Arial" w:cs="Arial"/>
          <w:sz w:val="23"/>
          <w:szCs w:val="23"/>
        </w:rPr>
        <w:t>小招</w:t>
      </w:r>
      <w:r w:rsidR="00EA22A2">
        <w:rPr>
          <w:rFonts w:ascii="Arial" w:eastAsia="宋体" w:hAnsi="Arial" w:cs="Arial" w:hint="eastAsia"/>
          <w:sz w:val="23"/>
          <w:szCs w:val="23"/>
        </w:rPr>
        <w:t>”</w:t>
      </w:r>
      <w:r w:rsidR="00CF4670" w:rsidRPr="009432A2">
        <w:rPr>
          <w:rFonts w:ascii="Arial" w:eastAsia="宋体" w:hAnsi="Arial" w:cs="Arial"/>
          <w:sz w:val="23"/>
          <w:szCs w:val="23"/>
        </w:rPr>
        <w:t>服务用户</w:t>
      </w:r>
      <w:r w:rsidR="00CF4670" w:rsidRPr="009432A2">
        <w:rPr>
          <w:rFonts w:ascii="Arial" w:eastAsia="宋体" w:hAnsi="Arial" w:cs="Arial"/>
          <w:sz w:val="23"/>
          <w:szCs w:val="23"/>
        </w:rPr>
        <w:t>1,172.88</w:t>
      </w:r>
      <w:r w:rsidR="00CF4670" w:rsidRPr="009432A2">
        <w:rPr>
          <w:rFonts w:ascii="Arial" w:eastAsia="宋体" w:hAnsi="Arial" w:cs="Arial"/>
          <w:sz w:val="23"/>
          <w:szCs w:val="23"/>
        </w:rPr>
        <w:t>万户，同比增长</w:t>
      </w:r>
      <w:r w:rsidR="00CF4670" w:rsidRPr="009432A2">
        <w:rPr>
          <w:rFonts w:ascii="Arial" w:eastAsia="宋体" w:hAnsi="Arial" w:cs="Arial"/>
          <w:sz w:val="23"/>
          <w:szCs w:val="23"/>
        </w:rPr>
        <w:t>140.84%</w:t>
      </w:r>
      <w:r w:rsidR="00CF4670" w:rsidRPr="009432A2">
        <w:rPr>
          <w:rFonts w:ascii="Arial" w:eastAsia="宋体" w:hAnsi="Arial" w:cs="Arial"/>
          <w:sz w:val="23"/>
          <w:szCs w:val="23"/>
        </w:rPr>
        <w:t>。</w:t>
      </w:r>
      <w:r w:rsidR="00CF4670" w:rsidRPr="009432A2">
        <w:rPr>
          <w:rFonts w:ascii="Arial" w:eastAsia="宋体" w:hAnsi="Arial" w:cs="Arial" w:hint="eastAsia"/>
          <w:sz w:val="23"/>
          <w:szCs w:val="23"/>
        </w:rPr>
        <w:t>批发金融数字化服务方面，</w:t>
      </w:r>
      <w:r w:rsidR="00CF4670" w:rsidRPr="009432A2">
        <w:rPr>
          <w:rFonts w:ascii="Arial" w:eastAsia="宋体" w:hAnsi="Arial" w:cs="Arial"/>
          <w:sz w:val="23"/>
          <w:szCs w:val="23"/>
        </w:rPr>
        <w:t>公司客户基础服务线上化率</w:t>
      </w:r>
      <w:r w:rsidR="00CF4670" w:rsidRPr="009432A2">
        <w:rPr>
          <w:rFonts w:ascii="Arial" w:eastAsia="宋体" w:hAnsi="Arial" w:cs="Arial"/>
          <w:sz w:val="23"/>
          <w:szCs w:val="23"/>
        </w:rPr>
        <w:t>95.65%</w:t>
      </w:r>
      <w:r w:rsidR="00CF4670" w:rsidRPr="009432A2">
        <w:rPr>
          <w:rFonts w:ascii="Arial" w:eastAsia="宋体" w:hAnsi="Arial" w:cs="Arial"/>
          <w:sz w:val="23"/>
          <w:szCs w:val="23"/>
        </w:rPr>
        <w:t>，融资业务线上化率</w:t>
      </w:r>
      <w:r w:rsidR="00CF4670" w:rsidRPr="009432A2">
        <w:rPr>
          <w:rFonts w:ascii="Arial" w:eastAsia="宋体" w:hAnsi="Arial" w:cs="Arial"/>
          <w:sz w:val="23"/>
          <w:szCs w:val="23"/>
        </w:rPr>
        <w:t>89.88%</w:t>
      </w:r>
      <w:r w:rsidR="00CF4670" w:rsidRPr="009432A2">
        <w:rPr>
          <w:rFonts w:ascii="Arial" w:eastAsia="宋体" w:hAnsi="Arial" w:cs="Arial"/>
          <w:sz w:val="23"/>
          <w:szCs w:val="23"/>
        </w:rPr>
        <w:t>，较上年末提升</w:t>
      </w:r>
      <w:r w:rsidR="00CF4670" w:rsidRPr="009432A2">
        <w:rPr>
          <w:rFonts w:ascii="Arial" w:eastAsia="宋体" w:hAnsi="Arial" w:cs="Arial"/>
          <w:sz w:val="23"/>
          <w:szCs w:val="23"/>
        </w:rPr>
        <w:t>7.74</w:t>
      </w:r>
      <w:r w:rsidR="00CF4670" w:rsidRPr="009432A2">
        <w:rPr>
          <w:rFonts w:ascii="Arial" w:eastAsia="宋体" w:hAnsi="Arial" w:cs="Arial"/>
          <w:sz w:val="23"/>
          <w:szCs w:val="23"/>
        </w:rPr>
        <w:t>个百分点，外汇业务线上化率</w:t>
      </w:r>
      <w:r w:rsidR="00CF4670" w:rsidRPr="009432A2">
        <w:rPr>
          <w:rFonts w:ascii="Arial" w:eastAsia="宋体" w:hAnsi="Arial" w:cs="Arial"/>
          <w:sz w:val="23"/>
          <w:szCs w:val="23"/>
        </w:rPr>
        <w:t>73.57%</w:t>
      </w:r>
      <w:r w:rsidR="00CF4670" w:rsidRPr="009432A2">
        <w:rPr>
          <w:rFonts w:ascii="Arial" w:eastAsia="宋体" w:hAnsi="Arial" w:cs="Arial"/>
          <w:sz w:val="23"/>
          <w:szCs w:val="23"/>
        </w:rPr>
        <w:t>，较上年末提升</w:t>
      </w:r>
      <w:r w:rsidR="00CF4670" w:rsidRPr="009432A2">
        <w:rPr>
          <w:rFonts w:ascii="Arial" w:eastAsia="宋体" w:hAnsi="Arial" w:cs="Arial"/>
          <w:sz w:val="23"/>
          <w:szCs w:val="23"/>
        </w:rPr>
        <w:t>8.08</w:t>
      </w:r>
      <w:r w:rsidR="00CF4670" w:rsidRPr="009432A2">
        <w:rPr>
          <w:rFonts w:ascii="Arial" w:eastAsia="宋体" w:hAnsi="Arial" w:cs="Arial"/>
          <w:sz w:val="23"/>
          <w:szCs w:val="23"/>
        </w:rPr>
        <w:t>个百分点。</w:t>
      </w:r>
      <w:r w:rsidR="00CF4670" w:rsidRPr="009432A2">
        <w:rPr>
          <w:rFonts w:ascii="Arial" w:eastAsia="宋体" w:hAnsi="Arial" w:cs="Arial" w:hint="eastAsia"/>
          <w:sz w:val="23"/>
          <w:szCs w:val="23"/>
        </w:rPr>
        <w:t>风险管理方面，</w:t>
      </w:r>
      <w:r w:rsidR="00AB4B8A" w:rsidRPr="009432A2" w:rsidDel="00AB4B8A">
        <w:rPr>
          <w:rFonts w:ascii="Arial" w:eastAsia="宋体" w:hAnsi="Arial" w:cs="Arial"/>
          <w:sz w:val="23"/>
          <w:szCs w:val="23"/>
        </w:rPr>
        <w:t xml:space="preserve"> </w:t>
      </w:r>
      <w:r w:rsidR="00884499">
        <w:rPr>
          <w:rFonts w:ascii="Arial" w:eastAsia="宋体" w:hAnsi="Arial" w:cs="Arial" w:hint="eastAsia"/>
          <w:sz w:val="23"/>
          <w:szCs w:val="23"/>
        </w:rPr>
        <w:t>“</w:t>
      </w:r>
      <w:r w:rsidR="00CF4670" w:rsidRPr="009432A2">
        <w:rPr>
          <w:rFonts w:ascii="Arial" w:eastAsia="宋体" w:hAnsi="Arial" w:cs="Arial"/>
          <w:sz w:val="23"/>
          <w:szCs w:val="23"/>
        </w:rPr>
        <w:t>天秤</w:t>
      </w:r>
      <w:r w:rsidR="00884499">
        <w:rPr>
          <w:rFonts w:ascii="Arial" w:eastAsia="宋体" w:hAnsi="Arial" w:cs="Arial" w:hint="eastAsia"/>
          <w:sz w:val="23"/>
          <w:szCs w:val="23"/>
        </w:rPr>
        <w:t>”</w:t>
      </w:r>
      <w:r w:rsidR="00CF4670" w:rsidRPr="009432A2">
        <w:rPr>
          <w:rFonts w:ascii="Arial" w:eastAsia="宋体" w:hAnsi="Arial" w:cs="Arial"/>
          <w:sz w:val="23"/>
          <w:szCs w:val="23"/>
        </w:rPr>
        <w:t>将非持卡人伪冒及盗用金额比例降低至</w:t>
      </w:r>
      <w:proofErr w:type="gramStart"/>
      <w:r w:rsidR="00CF4670" w:rsidRPr="009432A2">
        <w:rPr>
          <w:rFonts w:ascii="Arial" w:eastAsia="宋体" w:hAnsi="Arial" w:cs="Arial"/>
          <w:sz w:val="23"/>
          <w:szCs w:val="23"/>
        </w:rPr>
        <w:t>千万分之</w:t>
      </w:r>
      <w:r w:rsidR="00CF4670" w:rsidRPr="009432A2">
        <w:rPr>
          <w:rFonts w:ascii="Arial" w:eastAsia="宋体" w:hAnsi="Arial" w:cs="Arial"/>
          <w:sz w:val="23"/>
          <w:szCs w:val="23"/>
        </w:rPr>
        <w:t>0</w:t>
      </w:r>
      <w:proofErr w:type="gramEnd"/>
      <w:r w:rsidR="00CF4670" w:rsidRPr="009432A2">
        <w:rPr>
          <w:rFonts w:ascii="Arial" w:eastAsia="宋体" w:hAnsi="Arial" w:cs="Arial"/>
          <w:sz w:val="23"/>
          <w:szCs w:val="23"/>
        </w:rPr>
        <w:t>.1</w:t>
      </w:r>
      <w:r w:rsidR="00CF4670" w:rsidRPr="009432A2">
        <w:rPr>
          <w:rFonts w:ascii="Arial" w:eastAsia="宋体" w:hAnsi="Arial" w:cs="Arial"/>
          <w:sz w:val="23"/>
          <w:szCs w:val="23"/>
        </w:rPr>
        <w:t>。</w:t>
      </w:r>
      <w:r w:rsidR="00CF4670" w:rsidRPr="009432A2">
        <w:rPr>
          <w:rFonts w:ascii="Arial" w:eastAsia="宋体" w:hAnsi="Arial" w:cs="Arial" w:hint="eastAsia"/>
          <w:sz w:val="23"/>
          <w:szCs w:val="23"/>
        </w:rPr>
        <w:t>内部运营方面，</w:t>
      </w:r>
      <w:r w:rsidR="00CF4670" w:rsidRPr="009432A2">
        <w:rPr>
          <w:rFonts w:ascii="Arial" w:eastAsia="宋体" w:hAnsi="Arial" w:cs="Arial"/>
          <w:sz w:val="23"/>
          <w:szCs w:val="23"/>
        </w:rPr>
        <w:t>包括海螺</w:t>
      </w:r>
      <w:r w:rsidR="00CF4670" w:rsidRPr="009432A2">
        <w:rPr>
          <w:rFonts w:ascii="Arial" w:eastAsia="宋体" w:hAnsi="Arial" w:cs="Arial"/>
          <w:sz w:val="23"/>
          <w:szCs w:val="23"/>
        </w:rPr>
        <w:t>RPA</w:t>
      </w:r>
      <w:r w:rsidR="00CF4670" w:rsidRPr="009432A2">
        <w:rPr>
          <w:rFonts w:ascii="Arial" w:eastAsia="宋体" w:hAnsi="Arial" w:cs="Arial"/>
          <w:sz w:val="23"/>
          <w:szCs w:val="23"/>
        </w:rPr>
        <w:t>、</w:t>
      </w:r>
      <w:r w:rsidR="00CF4670" w:rsidRPr="009432A2">
        <w:rPr>
          <w:rFonts w:ascii="Arial" w:eastAsia="宋体" w:hAnsi="Arial" w:cs="Arial"/>
          <w:sz w:val="23"/>
          <w:szCs w:val="23"/>
        </w:rPr>
        <w:t>AI</w:t>
      </w:r>
      <w:r w:rsidR="00CF4670" w:rsidRPr="009432A2">
        <w:rPr>
          <w:rFonts w:ascii="Arial" w:eastAsia="宋体" w:hAnsi="Arial" w:cs="Arial"/>
          <w:sz w:val="23"/>
          <w:szCs w:val="23"/>
        </w:rPr>
        <w:t>智能客服、</w:t>
      </w:r>
      <w:r w:rsidR="00CF4670" w:rsidRPr="009432A2">
        <w:rPr>
          <w:rFonts w:ascii="Arial" w:eastAsia="宋体" w:hAnsi="Arial" w:cs="Arial"/>
          <w:sz w:val="23"/>
          <w:szCs w:val="23"/>
        </w:rPr>
        <w:t>AI</w:t>
      </w:r>
      <w:r w:rsidR="00CF4670" w:rsidRPr="009432A2">
        <w:rPr>
          <w:rFonts w:ascii="Arial" w:eastAsia="宋体" w:hAnsi="Arial" w:cs="Arial"/>
          <w:sz w:val="23"/>
          <w:szCs w:val="23"/>
        </w:rPr>
        <w:t>模拟人、语音质检等智能化应用已在全行实现全职人力替代超过</w:t>
      </w:r>
      <w:r w:rsidR="00CF4670" w:rsidRPr="009432A2">
        <w:rPr>
          <w:rFonts w:ascii="Arial" w:eastAsia="宋体" w:hAnsi="Arial" w:cs="Arial"/>
          <w:sz w:val="23"/>
          <w:szCs w:val="23"/>
        </w:rPr>
        <w:t>1.4</w:t>
      </w:r>
      <w:r w:rsidR="00CF4670" w:rsidRPr="009432A2">
        <w:rPr>
          <w:rFonts w:ascii="Arial" w:eastAsia="宋体" w:hAnsi="Arial" w:cs="Arial"/>
          <w:sz w:val="23"/>
          <w:szCs w:val="23"/>
        </w:rPr>
        <w:t>万人。</w:t>
      </w:r>
      <w:r w:rsidR="00CF4670" w:rsidRPr="009432A2">
        <w:rPr>
          <w:rFonts w:ascii="Arial" w:eastAsia="宋体" w:hAnsi="Arial" w:cs="Arial" w:hint="eastAsia"/>
          <w:sz w:val="23"/>
          <w:szCs w:val="23"/>
        </w:rPr>
        <w:t>数字化基础设施方面，</w:t>
      </w:r>
      <w:r w:rsidR="00CF4670" w:rsidRPr="009432A2">
        <w:rPr>
          <w:rFonts w:ascii="Arial" w:eastAsia="宋体" w:hAnsi="Arial" w:cs="Arial"/>
          <w:sz w:val="23"/>
          <w:szCs w:val="23"/>
        </w:rPr>
        <w:t>云平台整体可用性</w:t>
      </w:r>
      <w:r w:rsidR="00CF4670" w:rsidRPr="009432A2">
        <w:rPr>
          <w:rStyle w:val="af"/>
          <w:rFonts w:ascii="Arial" w:eastAsia="宋体" w:hAnsi="Arial" w:cs="Arial"/>
          <w:sz w:val="23"/>
          <w:szCs w:val="23"/>
        </w:rPr>
        <w:footnoteReference w:id="5"/>
      </w:r>
      <w:r w:rsidR="00CF4670" w:rsidRPr="009432A2">
        <w:rPr>
          <w:rFonts w:ascii="Arial" w:eastAsia="宋体" w:hAnsi="Arial" w:cs="Arial"/>
          <w:sz w:val="23"/>
          <w:szCs w:val="23"/>
        </w:rPr>
        <w:t>达</w:t>
      </w:r>
      <w:r w:rsidR="00CF4670" w:rsidRPr="009432A2">
        <w:rPr>
          <w:rFonts w:ascii="Arial" w:eastAsia="宋体" w:hAnsi="Arial" w:cs="Arial"/>
          <w:sz w:val="23"/>
          <w:szCs w:val="23"/>
        </w:rPr>
        <w:t>99.999%</w:t>
      </w:r>
      <w:r w:rsidR="00CF4670" w:rsidRPr="009432A2">
        <w:rPr>
          <w:rFonts w:ascii="Arial" w:eastAsia="宋体" w:hAnsi="Arial" w:cs="Arial"/>
          <w:sz w:val="23"/>
          <w:szCs w:val="23"/>
        </w:rPr>
        <w:t>。</w:t>
      </w:r>
    </w:p>
    <w:p w14:paraId="00C78684" w14:textId="77777777" w:rsidR="00B52B40" w:rsidRDefault="00B52B40" w:rsidP="009432A2">
      <w:pPr>
        <w:widowControl w:val="0"/>
        <w:spacing w:after="0" w:line="240" w:lineRule="auto"/>
        <w:ind w:left="426"/>
        <w:jc w:val="both"/>
        <w:rPr>
          <w:rFonts w:ascii="Arial" w:eastAsia="宋体" w:hAnsi="Arial" w:cs="Arial"/>
          <w:sz w:val="23"/>
          <w:szCs w:val="23"/>
        </w:rPr>
      </w:pPr>
    </w:p>
    <w:p w14:paraId="15B7E869" w14:textId="718EA8ED" w:rsidR="00455F67" w:rsidRPr="00CF4670" w:rsidRDefault="00455F67" w:rsidP="00455F67">
      <w:pPr>
        <w:widowControl w:val="0"/>
        <w:numPr>
          <w:ilvl w:val="0"/>
          <w:numId w:val="5"/>
        </w:numPr>
        <w:spacing w:after="0" w:line="240" w:lineRule="auto"/>
        <w:ind w:left="426" w:hanging="426"/>
        <w:jc w:val="both"/>
        <w:rPr>
          <w:rFonts w:ascii="Arial" w:eastAsia="宋体" w:hAnsi="Arial" w:cs="Arial"/>
          <w:b/>
          <w:bCs/>
          <w:color w:val="000000"/>
          <w:sz w:val="23"/>
          <w:szCs w:val="23"/>
          <w:lang w:val="en-US"/>
        </w:rPr>
      </w:pPr>
      <w:r w:rsidRPr="00455F67">
        <w:rPr>
          <w:rFonts w:ascii="Arial" w:eastAsia="宋体" w:hAnsi="Arial" w:cs="Arial"/>
          <w:b/>
          <w:bCs/>
          <w:color w:val="000000"/>
          <w:sz w:val="23"/>
          <w:szCs w:val="23"/>
          <w:lang w:val="en-US"/>
        </w:rPr>
        <w:t>全面风险管理能力增强</w:t>
      </w:r>
    </w:p>
    <w:p w14:paraId="1789665B" w14:textId="42CCD794" w:rsidR="00851555" w:rsidRDefault="00B52B40" w:rsidP="00455F67">
      <w:pPr>
        <w:widowControl w:val="0"/>
        <w:spacing w:after="0" w:line="240" w:lineRule="auto"/>
        <w:ind w:left="426"/>
        <w:jc w:val="both"/>
        <w:rPr>
          <w:rFonts w:ascii="Arial" w:eastAsia="宋体" w:hAnsi="Arial" w:cs="Arial"/>
          <w:color w:val="000000"/>
          <w:sz w:val="23"/>
          <w:szCs w:val="23"/>
          <w:lang w:val="en-US"/>
        </w:rPr>
      </w:pPr>
      <w:r w:rsidRPr="00B52B40">
        <w:rPr>
          <w:rFonts w:ascii="Arial" w:eastAsia="宋体" w:hAnsi="Arial" w:cs="Arial"/>
          <w:b/>
          <w:bCs/>
          <w:color w:val="000000"/>
          <w:sz w:val="23"/>
          <w:szCs w:val="23"/>
          <w:lang w:val="en-US"/>
        </w:rPr>
        <w:t>从严资产分类、充分暴露风险，积极处置不良资产，资产质量保持平稳。</w:t>
      </w:r>
      <w:r w:rsidRPr="00B52B40">
        <w:rPr>
          <w:rFonts w:ascii="Arial" w:eastAsia="宋体" w:hAnsi="Arial" w:cs="Arial"/>
          <w:color w:val="000000"/>
          <w:sz w:val="23"/>
          <w:szCs w:val="23"/>
          <w:lang w:val="en-US"/>
        </w:rPr>
        <w:t>截至报告期末，零售不良贷款余额</w:t>
      </w:r>
      <w:r w:rsidRPr="00B52B40">
        <w:rPr>
          <w:rFonts w:ascii="Arial" w:eastAsia="宋体" w:hAnsi="Arial" w:cs="Arial"/>
          <w:color w:val="000000"/>
          <w:sz w:val="23"/>
          <w:szCs w:val="23"/>
          <w:lang w:val="en-US"/>
        </w:rPr>
        <w:t>279.75</w:t>
      </w:r>
      <w:r w:rsidRPr="00B52B40">
        <w:rPr>
          <w:rFonts w:ascii="Arial" w:eastAsia="宋体" w:hAnsi="Arial" w:cs="Arial"/>
          <w:color w:val="000000"/>
          <w:sz w:val="23"/>
          <w:szCs w:val="23"/>
          <w:lang w:val="en-US"/>
        </w:rPr>
        <w:t>亿元，较上年末减少</w:t>
      </w:r>
      <w:r w:rsidRPr="00B52B40">
        <w:rPr>
          <w:rFonts w:ascii="Arial" w:eastAsia="宋体" w:hAnsi="Arial" w:cs="Arial"/>
          <w:color w:val="000000"/>
          <w:sz w:val="23"/>
          <w:szCs w:val="23"/>
          <w:lang w:val="en-US"/>
        </w:rPr>
        <w:t>0.68</w:t>
      </w:r>
      <w:r w:rsidRPr="00B52B40">
        <w:rPr>
          <w:rFonts w:ascii="Arial" w:eastAsia="宋体" w:hAnsi="Arial" w:cs="Arial"/>
          <w:color w:val="000000"/>
          <w:sz w:val="23"/>
          <w:szCs w:val="23"/>
          <w:lang w:val="en-US"/>
        </w:rPr>
        <w:t>亿元，不良贷款率</w:t>
      </w:r>
      <w:r w:rsidRPr="00B52B40">
        <w:rPr>
          <w:rFonts w:ascii="Arial" w:eastAsia="宋体" w:hAnsi="Arial" w:cs="Arial"/>
          <w:color w:val="000000"/>
          <w:sz w:val="23"/>
          <w:szCs w:val="23"/>
          <w:lang w:val="en-US"/>
        </w:rPr>
        <w:t>0.84%</w:t>
      </w:r>
      <w:r w:rsidRPr="00B52B40">
        <w:rPr>
          <w:rFonts w:ascii="Arial" w:eastAsia="宋体" w:hAnsi="Arial" w:cs="Arial"/>
          <w:color w:val="000000"/>
          <w:sz w:val="23"/>
          <w:szCs w:val="23"/>
          <w:lang w:val="en-US"/>
        </w:rPr>
        <w:t>，较上年末下降</w:t>
      </w:r>
      <w:r w:rsidRPr="00B52B40">
        <w:rPr>
          <w:rFonts w:ascii="Arial" w:eastAsia="宋体" w:hAnsi="Arial" w:cs="Arial"/>
          <w:color w:val="000000"/>
          <w:sz w:val="23"/>
          <w:szCs w:val="23"/>
          <w:lang w:val="en-US"/>
        </w:rPr>
        <w:t>0.05</w:t>
      </w:r>
      <w:r w:rsidRPr="00B52B40">
        <w:rPr>
          <w:rFonts w:ascii="Arial" w:eastAsia="宋体" w:hAnsi="Arial" w:cs="Arial"/>
          <w:color w:val="000000"/>
          <w:sz w:val="23"/>
          <w:szCs w:val="23"/>
          <w:lang w:val="en-US"/>
        </w:rPr>
        <w:t>个百分点，其中，信用卡贷款不良余额</w:t>
      </w:r>
      <w:r w:rsidRPr="00B52B40">
        <w:rPr>
          <w:rFonts w:ascii="Arial" w:eastAsia="宋体" w:hAnsi="Arial" w:cs="Arial"/>
          <w:color w:val="000000"/>
          <w:sz w:val="23"/>
          <w:szCs w:val="23"/>
          <w:lang w:val="en-US"/>
        </w:rPr>
        <w:t>152.01</w:t>
      </w:r>
      <w:r w:rsidRPr="00B52B40">
        <w:rPr>
          <w:rFonts w:ascii="Arial" w:eastAsia="宋体" w:hAnsi="Arial" w:cs="Arial"/>
          <w:color w:val="000000"/>
          <w:sz w:val="23"/>
          <w:szCs w:val="23"/>
          <w:lang w:val="en-US"/>
        </w:rPr>
        <w:t>亿元，较上年末减少</w:t>
      </w:r>
      <w:r w:rsidRPr="00B52B40">
        <w:rPr>
          <w:rFonts w:ascii="Arial" w:eastAsia="宋体" w:hAnsi="Arial" w:cs="Arial"/>
          <w:color w:val="000000"/>
          <w:sz w:val="23"/>
          <w:szCs w:val="23"/>
          <w:lang w:val="en-US"/>
        </w:rPr>
        <w:t>4.49</w:t>
      </w:r>
      <w:r w:rsidRPr="00B52B40">
        <w:rPr>
          <w:rFonts w:ascii="Arial" w:eastAsia="宋体" w:hAnsi="Arial" w:cs="Arial"/>
          <w:color w:val="000000"/>
          <w:sz w:val="23"/>
          <w:szCs w:val="23"/>
          <w:lang w:val="en-US"/>
        </w:rPr>
        <w:t>亿元，信用卡贷款不良率</w:t>
      </w:r>
      <w:r w:rsidRPr="00B52B40">
        <w:rPr>
          <w:rFonts w:ascii="Arial" w:eastAsia="宋体" w:hAnsi="Arial" w:cs="Arial"/>
          <w:color w:val="000000"/>
          <w:sz w:val="23"/>
          <w:szCs w:val="23"/>
          <w:lang w:val="en-US"/>
        </w:rPr>
        <w:t>1.68%</w:t>
      </w:r>
      <w:r w:rsidRPr="00B52B40">
        <w:rPr>
          <w:rFonts w:ascii="Arial" w:eastAsia="宋体" w:hAnsi="Arial" w:cs="Arial"/>
          <w:color w:val="000000"/>
          <w:sz w:val="23"/>
          <w:szCs w:val="23"/>
          <w:lang w:val="en-US"/>
        </w:rPr>
        <w:t>，较上年末下降</w:t>
      </w:r>
      <w:r w:rsidRPr="00B52B40">
        <w:rPr>
          <w:rFonts w:ascii="Arial" w:eastAsia="宋体" w:hAnsi="Arial" w:cs="Arial"/>
          <w:color w:val="000000"/>
          <w:sz w:val="23"/>
          <w:szCs w:val="23"/>
          <w:lang w:val="en-US"/>
        </w:rPr>
        <w:t>0.09</w:t>
      </w:r>
      <w:r w:rsidRPr="00B52B40">
        <w:rPr>
          <w:rFonts w:ascii="Arial" w:eastAsia="宋体" w:hAnsi="Arial" w:cs="Arial"/>
          <w:color w:val="000000"/>
          <w:sz w:val="23"/>
          <w:szCs w:val="23"/>
          <w:lang w:val="en-US"/>
        </w:rPr>
        <w:t>个百分点。受部分高负债房地产客户及个别经营不善的公司客户风险暴露影响，公司贷款不良余额</w:t>
      </w:r>
      <w:r w:rsidRPr="00B52B40">
        <w:rPr>
          <w:rFonts w:ascii="Arial" w:eastAsia="宋体" w:hAnsi="Arial" w:cs="Arial"/>
          <w:color w:val="000000"/>
          <w:sz w:val="23"/>
          <w:szCs w:val="23"/>
          <w:lang w:val="en-US"/>
        </w:rPr>
        <w:t>326.66</w:t>
      </w:r>
      <w:r w:rsidRPr="00B52B40">
        <w:rPr>
          <w:rFonts w:ascii="Arial" w:eastAsia="宋体" w:hAnsi="Arial" w:cs="Arial"/>
          <w:color w:val="000000"/>
          <w:sz w:val="23"/>
          <w:szCs w:val="23"/>
          <w:lang w:val="en-US"/>
        </w:rPr>
        <w:t>亿元，较上年末增加</w:t>
      </w:r>
      <w:r w:rsidRPr="00B52B40">
        <w:rPr>
          <w:rFonts w:ascii="Arial" w:eastAsia="宋体" w:hAnsi="Arial" w:cs="Arial"/>
          <w:color w:val="000000"/>
          <w:sz w:val="23"/>
          <w:szCs w:val="23"/>
          <w:lang w:val="en-US"/>
        </w:rPr>
        <w:t>27.05</w:t>
      </w:r>
      <w:r w:rsidRPr="00B52B40">
        <w:rPr>
          <w:rFonts w:ascii="Arial" w:eastAsia="宋体" w:hAnsi="Arial" w:cs="Arial"/>
          <w:color w:val="000000"/>
          <w:sz w:val="23"/>
          <w:szCs w:val="23"/>
          <w:lang w:val="en-US"/>
        </w:rPr>
        <w:t>亿元，公司贷款不良率</w:t>
      </w:r>
      <w:r w:rsidRPr="00B52B40">
        <w:rPr>
          <w:rFonts w:ascii="Arial" w:eastAsia="宋体" w:hAnsi="Arial" w:cs="Arial"/>
          <w:color w:val="000000"/>
          <w:sz w:val="23"/>
          <w:szCs w:val="23"/>
          <w:lang w:val="en-US"/>
        </w:rPr>
        <w:t>1.27%</w:t>
      </w:r>
      <w:r w:rsidRPr="00B52B40">
        <w:rPr>
          <w:rFonts w:ascii="Arial" w:eastAsia="宋体" w:hAnsi="Arial" w:cs="Arial"/>
          <w:color w:val="000000"/>
          <w:sz w:val="23"/>
          <w:szCs w:val="23"/>
          <w:lang w:val="en-US"/>
        </w:rPr>
        <w:t>，较上年末上升</w:t>
      </w:r>
      <w:r w:rsidRPr="00B52B40">
        <w:rPr>
          <w:rFonts w:ascii="Arial" w:eastAsia="宋体" w:hAnsi="Arial" w:cs="Arial"/>
          <w:color w:val="000000"/>
          <w:sz w:val="23"/>
          <w:szCs w:val="23"/>
          <w:lang w:val="en-US"/>
        </w:rPr>
        <w:t>0.01</w:t>
      </w:r>
      <w:r w:rsidRPr="00B52B40">
        <w:rPr>
          <w:rFonts w:ascii="Arial" w:eastAsia="宋体" w:hAnsi="Arial" w:cs="Arial"/>
          <w:color w:val="000000"/>
          <w:sz w:val="23"/>
          <w:szCs w:val="23"/>
          <w:lang w:val="en-US"/>
        </w:rPr>
        <w:t>个百分点。本集团对逾期贷款采取审慎的</w:t>
      </w:r>
      <w:r w:rsidR="00884499">
        <w:rPr>
          <w:rFonts w:ascii="Arial" w:eastAsia="宋体" w:hAnsi="Arial" w:cs="Arial" w:hint="eastAsia"/>
          <w:color w:val="000000"/>
          <w:sz w:val="23"/>
          <w:szCs w:val="23"/>
          <w:lang w:val="en-US"/>
        </w:rPr>
        <w:t>分类</w:t>
      </w:r>
      <w:r w:rsidRPr="00B52B40">
        <w:rPr>
          <w:rFonts w:ascii="Arial" w:eastAsia="宋体" w:hAnsi="Arial" w:cs="Arial"/>
          <w:color w:val="000000"/>
          <w:sz w:val="23"/>
          <w:szCs w:val="23"/>
          <w:lang w:val="en-US"/>
        </w:rPr>
        <w:t>标准，不良贷款与逾期</w:t>
      </w:r>
      <w:r w:rsidRPr="00B52B40">
        <w:rPr>
          <w:rFonts w:ascii="Arial" w:eastAsia="宋体" w:hAnsi="Arial" w:cs="Arial"/>
          <w:color w:val="000000"/>
          <w:sz w:val="23"/>
          <w:szCs w:val="23"/>
          <w:lang w:val="en-US"/>
        </w:rPr>
        <w:t>90</w:t>
      </w:r>
      <w:r w:rsidRPr="00B52B40">
        <w:rPr>
          <w:rFonts w:ascii="Arial" w:eastAsia="宋体" w:hAnsi="Arial" w:cs="Arial"/>
          <w:color w:val="000000"/>
          <w:sz w:val="23"/>
          <w:szCs w:val="23"/>
          <w:lang w:val="en-US"/>
        </w:rPr>
        <w:t>天以上贷款的比值为</w:t>
      </w:r>
      <w:r w:rsidRPr="00B52B40">
        <w:rPr>
          <w:rFonts w:ascii="Arial" w:eastAsia="宋体" w:hAnsi="Arial" w:cs="Arial"/>
          <w:color w:val="000000"/>
          <w:sz w:val="23"/>
          <w:szCs w:val="23"/>
          <w:lang w:val="en-US"/>
        </w:rPr>
        <w:t>1.29</w:t>
      </w:r>
      <w:r w:rsidRPr="00B52B40">
        <w:rPr>
          <w:rFonts w:ascii="Arial" w:eastAsia="宋体" w:hAnsi="Arial" w:cs="Arial"/>
          <w:color w:val="000000"/>
          <w:sz w:val="23"/>
          <w:szCs w:val="23"/>
          <w:lang w:val="en-US"/>
        </w:rPr>
        <w:t>；本公司不良贷款与逾期</w:t>
      </w:r>
      <w:r w:rsidRPr="00B52B40">
        <w:rPr>
          <w:rFonts w:ascii="Arial" w:eastAsia="宋体" w:hAnsi="Arial" w:cs="Arial"/>
          <w:color w:val="000000"/>
          <w:sz w:val="23"/>
          <w:szCs w:val="23"/>
          <w:lang w:val="en-US"/>
        </w:rPr>
        <w:t>60</w:t>
      </w:r>
      <w:r w:rsidRPr="00B52B40">
        <w:rPr>
          <w:rFonts w:ascii="Arial" w:eastAsia="宋体" w:hAnsi="Arial" w:cs="Arial"/>
          <w:color w:val="000000"/>
          <w:sz w:val="23"/>
          <w:szCs w:val="23"/>
          <w:lang w:val="en-US"/>
        </w:rPr>
        <w:t>天以上贷款的比值为</w:t>
      </w:r>
      <w:r w:rsidRPr="00B52B40">
        <w:rPr>
          <w:rFonts w:ascii="Arial" w:eastAsia="宋体" w:hAnsi="Arial" w:cs="Arial"/>
          <w:color w:val="000000"/>
          <w:sz w:val="23"/>
          <w:szCs w:val="23"/>
          <w:lang w:val="en-US"/>
        </w:rPr>
        <w:t>1.08</w:t>
      </w:r>
      <w:r w:rsidRPr="00B52B40">
        <w:rPr>
          <w:rFonts w:ascii="Arial" w:eastAsia="宋体" w:hAnsi="Arial" w:cs="Arial"/>
          <w:color w:val="000000"/>
          <w:sz w:val="23"/>
          <w:szCs w:val="23"/>
          <w:lang w:val="en-US"/>
        </w:rPr>
        <w:t>。</w:t>
      </w:r>
    </w:p>
    <w:p w14:paraId="1B003547" w14:textId="77777777" w:rsidR="00361CE5" w:rsidRDefault="00361CE5" w:rsidP="00455F67">
      <w:pPr>
        <w:widowControl w:val="0"/>
        <w:spacing w:after="0" w:line="240" w:lineRule="auto"/>
        <w:ind w:left="426"/>
        <w:jc w:val="both"/>
        <w:rPr>
          <w:rFonts w:ascii="Arial" w:eastAsia="宋体" w:hAnsi="Arial" w:cs="Arial"/>
          <w:color w:val="000000"/>
          <w:sz w:val="23"/>
          <w:szCs w:val="23"/>
          <w:lang w:val="en-US"/>
        </w:rPr>
      </w:pPr>
    </w:p>
    <w:p w14:paraId="264F7E20" w14:textId="0D285FE4" w:rsidR="00CF4670" w:rsidRDefault="00B52B40" w:rsidP="00455F67">
      <w:pPr>
        <w:widowControl w:val="0"/>
        <w:spacing w:after="0" w:line="240" w:lineRule="auto"/>
        <w:ind w:left="426"/>
        <w:jc w:val="both"/>
        <w:rPr>
          <w:rFonts w:ascii="Arial" w:eastAsia="宋体" w:hAnsi="Arial" w:cs="Arial"/>
          <w:color w:val="000000"/>
          <w:sz w:val="23"/>
          <w:szCs w:val="23"/>
          <w:lang w:val="en-US"/>
        </w:rPr>
      </w:pPr>
      <w:r w:rsidRPr="00B52B40">
        <w:rPr>
          <w:rFonts w:ascii="Arial" w:eastAsia="宋体" w:hAnsi="Arial" w:cs="Arial"/>
          <w:color w:val="000000"/>
          <w:sz w:val="23"/>
          <w:szCs w:val="23"/>
          <w:lang w:val="en-US"/>
        </w:rPr>
        <w:t>报告期内，本公司新生成不良贷款</w:t>
      </w:r>
      <w:r w:rsidRPr="00B52B40">
        <w:rPr>
          <w:rFonts w:ascii="Arial" w:eastAsia="宋体" w:hAnsi="Arial" w:cs="Arial"/>
          <w:color w:val="000000"/>
          <w:sz w:val="23"/>
          <w:szCs w:val="23"/>
          <w:lang w:val="en-US"/>
        </w:rPr>
        <w:t>305.09</w:t>
      </w:r>
      <w:r w:rsidRPr="00B52B40">
        <w:rPr>
          <w:rFonts w:ascii="Arial" w:eastAsia="宋体" w:hAnsi="Arial" w:cs="Arial"/>
          <w:color w:val="000000"/>
          <w:sz w:val="23"/>
          <w:szCs w:val="23"/>
          <w:lang w:val="en-US"/>
        </w:rPr>
        <w:t>亿元，同比减少</w:t>
      </w:r>
      <w:r w:rsidRPr="00B52B40">
        <w:rPr>
          <w:rFonts w:ascii="Arial" w:eastAsia="宋体" w:hAnsi="Arial" w:cs="Arial"/>
          <w:color w:val="000000"/>
          <w:sz w:val="23"/>
          <w:szCs w:val="23"/>
          <w:lang w:val="en-US"/>
        </w:rPr>
        <w:t>1.93</w:t>
      </w:r>
      <w:r w:rsidRPr="00B52B40">
        <w:rPr>
          <w:rFonts w:ascii="Arial" w:eastAsia="宋体" w:hAnsi="Arial" w:cs="Arial"/>
          <w:color w:val="000000"/>
          <w:sz w:val="23"/>
          <w:szCs w:val="23"/>
          <w:lang w:val="en-US"/>
        </w:rPr>
        <w:t>亿元；不良贷款生成率（年化）</w:t>
      </w:r>
      <w:r w:rsidRPr="00B52B40">
        <w:rPr>
          <w:rFonts w:ascii="Arial" w:eastAsia="宋体" w:hAnsi="Arial" w:cs="Arial"/>
          <w:color w:val="000000"/>
          <w:sz w:val="23"/>
          <w:szCs w:val="23"/>
          <w:lang w:val="en-US"/>
        </w:rPr>
        <w:t>1.04%</w:t>
      </w:r>
      <w:r w:rsidRPr="00B52B40">
        <w:rPr>
          <w:rFonts w:ascii="Arial" w:eastAsia="宋体" w:hAnsi="Arial" w:cs="Arial"/>
          <w:color w:val="000000"/>
          <w:sz w:val="23"/>
          <w:szCs w:val="23"/>
          <w:lang w:val="en-US"/>
        </w:rPr>
        <w:t>，同比下降</w:t>
      </w:r>
      <w:r w:rsidRPr="00B52B40">
        <w:rPr>
          <w:rFonts w:ascii="Arial" w:eastAsia="宋体" w:hAnsi="Arial" w:cs="Arial"/>
          <w:color w:val="000000"/>
          <w:sz w:val="23"/>
          <w:szCs w:val="23"/>
          <w:lang w:val="en-US"/>
        </w:rPr>
        <w:t>0.09</w:t>
      </w:r>
      <w:r w:rsidRPr="00B52B40">
        <w:rPr>
          <w:rFonts w:ascii="Arial" w:eastAsia="宋体" w:hAnsi="Arial" w:cs="Arial"/>
          <w:color w:val="000000"/>
          <w:sz w:val="23"/>
          <w:szCs w:val="23"/>
          <w:lang w:val="en-US"/>
        </w:rPr>
        <w:t>个百分点。报告期内，本公司积极处置不良资产，运用多种途径化解风险资产，报告期内共处置不良贷款</w:t>
      </w:r>
      <w:r w:rsidRPr="00B52B40">
        <w:rPr>
          <w:rFonts w:ascii="Arial" w:eastAsia="宋体" w:hAnsi="Arial" w:cs="Arial"/>
          <w:color w:val="000000"/>
          <w:sz w:val="23"/>
          <w:szCs w:val="23"/>
          <w:lang w:val="en-US"/>
        </w:rPr>
        <w:t>282.78</w:t>
      </w:r>
      <w:r w:rsidRPr="00B52B40">
        <w:rPr>
          <w:rFonts w:ascii="Arial" w:eastAsia="宋体" w:hAnsi="Arial" w:cs="Arial"/>
          <w:color w:val="000000"/>
          <w:sz w:val="23"/>
          <w:szCs w:val="23"/>
          <w:lang w:val="en-US"/>
        </w:rPr>
        <w:t>亿元，其中，常规核销</w:t>
      </w:r>
      <w:r w:rsidRPr="00B52B40">
        <w:rPr>
          <w:rFonts w:ascii="Arial" w:eastAsia="宋体" w:hAnsi="Arial" w:cs="Arial"/>
          <w:color w:val="000000"/>
          <w:sz w:val="23"/>
          <w:szCs w:val="23"/>
          <w:lang w:val="en-US"/>
        </w:rPr>
        <w:t>110.51</w:t>
      </w:r>
      <w:r w:rsidRPr="00B52B40">
        <w:rPr>
          <w:rFonts w:ascii="Arial" w:eastAsia="宋体" w:hAnsi="Arial" w:cs="Arial"/>
          <w:color w:val="000000"/>
          <w:sz w:val="23"/>
          <w:szCs w:val="23"/>
          <w:lang w:val="en-US"/>
        </w:rPr>
        <w:t>亿元，不良资产证券化</w:t>
      </w:r>
      <w:r w:rsidRPr="00B52B40">
        <w:rPr>
          <w:rFonts w:ascii="Arial" w:eastAsia="宋体" w:hAnsi="Arial" w:cs="Arial"/>
          <w:color w:val="000000"/>
          <w:sz w:val="23"/>
          <w:szCs w:val="23"/>
          <w:lang w:val="en-US"/>
        </w:rPr>
        <w:t>113.76</w:t>
      </w:r>
      <w:r w:rsidRPr="00B52B40">
        <w:rPr>
          <w:rFonts w:ascii="Arial" w:eastAsia="宋体" w:hAnsi="Arial" w:cs="Arial"/>
          <w:color w:val="000000"/>
          <w:sz w:val="23"/>
          <w:szCs w:val="23"/>
          <w:lang w:val="en-US"/>
        </w:rPr>
        <w:t>亿元，清收</w:t>
      </w:r>
      <w:r w:rsidRPr="00B52B40">
        <w:rPr>
          <w:rFonts w:ascii="Arial" w:eastAsia="宋体" w:hAnsi="Arial" w:cs="Arial"/>
          <w:color w:val="000000"/>
          <w:sz w:val="23"/>
          <w:szCs w:val="23"/>
          <w:lang w:val="en-US"/>
        </w:rPr>
        <w:t>56.37</w:t>
      </w:r>
      <w:r w:rsidRPr="00B52B40">
        <w:rPr>
          <w:rFonts w:ascii="Arial" w:eastAsia="宋体" w:hAnsi="Arial" w:cs="Arial"/>
          <w:color w:val="000000"/>
          <w:sz w:val="23"/>
          <w:szCs w:val="23"/>
          <w:lang w:val="en-US"/>
        </w:rPr>
        <w:t>亿元，通过抵债、转让、重组上迁、减免等其他方式处置</w:t>
      </w:r>
      <w:r w:rsidRPr="00B52B40">
        <w:rPr>
          <w:rFonts w:ascii="Arial" w:eastAsia="宋体" w:hAnsi="Arial" w:cs="Arial"/>
          <w:color w:val="000000"/>
          <w:sz w:val="23"/>
          <w:szCs w:val="23"/>
          <w:lang w:val="en-US"/>
        </w:rPr>
        <w:t>2.14</w:t>
      </w:r>
      <w:r w:rsidRPr="00B52B40">
        <w:rPr>
          <w:rFonts w:ascii="Arial" w:eastAsia="宋体" w:hAnsi="Arial" w:cs="Arial"/>
          <w:color w:val="000000"/>
          <w:sz w:val="23"/>
          <w:szCs w:val="23"/>
          <w:lang w:val="en-US"/>
        </w:rPr>
        <w:t>亿元。</w:t>
      </w:r>
    </w:p>
    <w:p w14:paraId="1CF62892" w14:textId="77777777" w:rsidR="00B52B40" w:rsidRDefault="00B52B40" w:rsidP="00455F67">
      <w:pPr>
        <w:widowControl w:val="0"/>
        <w:spacing w:after="0" w:line="240" w:lineRule="auto"/>
        <w:ind w:left="426"/>
        <w:jc w:val="both"/>
        <w:rPr>
          <w:rFonts w:ascii="Arial" w:eastAsia="宋体" w:hAnsi="Arial" w:cs="Arial"/>
          <w:color w:val="000000"/>
          <w:sz w:val="23"/>
          <w:szCs w:val="23"/>
          <w:lang w:val="en-US"/>
        </w:rPr>
      </w:pPr>
    </w:p>
    <w:p w14:paraId="316D58D2" w14:textId="023303BA" w:rsidR="00851555" w:rsidRDefault="00B52B40" w:rsidP="0050732F">
      <w:pPr>
        <w:widowControl w:val="0"/>
        <w:spacing w:after="0" w:line="240" w:lineRule="auto"/>
        <w:ind w:left="426"/>
        <w:jc w:val="both"/>
        <w:rPr>
          <w:rFonts w:ascii="Arial" w:eastAsia="宋体" w:hAnsi="Arial" w:cs="Arial"/>
          <w:color w:val="000000"/>
          <w:sz w:val="23"/>
          <w:szCs w:val="23"/>
          <w:lang w:val="en-US"/>
        </w:rPr>
      </w:pPr>
      <w:r w:rsidRPr="00B52B40">
        <w:rPr>
          <w:rFonts w:ascii="Arial" w:eastAsia="宋体" w:hAnsi="Arial" w:cs="Arial"/>
          <w:b/>
          <w:bCs/>
          <w:color w:val="000000"/>
          <w:sz w:val="23"/>
          <w:szCs w:val="23"/>
          <w:lang w:val="en-US"/>
        </w:rPr>
        <w:t>有效管</w:t>
      </w:r>
      <w:proofErr w:type="gramStart"/>
      <w:r w:rsidRPr="00B52B40">
        <w:rPr>
          <w:rFonts w:ascii="Arial" w:eastAsia="宋体" w:hAnsi="Arial" w:cs="Arial"/>
          <w:b/>
          <w:bCs/>
          <w:color w:val="000000"/>
          <w:sz w:val="23"/>
          <w:szCs w:val="23"/>
          <w:lang w:val="en-US"/>
        </w:rPr>
        <w:t>控涉房业务</w:t>
      </w:r>
      <w:proofErr w:type="gramEnd"/>
      <w:r w:rsidRPr="00B52B40">
        <w:rPr>
          <w:rFonts w:ascii="Arial" w:eastAsia="宋体" w:hAnsi="Arial" w:cs="Arial"/>
          <w:b/>
          <w:bCs/>
          <w:color w:val="000000"/>
          <w:sz w:val="23"/>
          <w:szCs w:val="23"/>
          <w:lang w:val="en-US"/>
        </w:rPr>
        <w:t>、地方政府融资平台的风险，资产质量总体可控。</w:t>
      </w:r>
      <w:r w:rsidR="0050732F" w:rsidRPr="0050732F">
        <w:rPr>
          <w:rFonts w:ascii="Arial" w:eastAsia="宋体" w:hAnsi="Arial" w:cs="Arial"/>
          <w:color w:val="000000"/>
          <w:sz w:val="23"/>
          <w:szCs w:val="23"/>
          <w:lang w:val="en-US"/>
        </w:rPr>
        <w:t>截至报告期末，本公司房地产业贷款余额</w:t>
      </w:r>
      <w:r w:rsidR="0050732F" w:rsidRPr="0050732F">
        <w:rPr>
          <w:rFonts w:ascii="Arial" w:eastAsia="宋体" w:hAnsi="Arial" w:cs="Arial"/>
          <w:color w:val="000000"/>
          <w:sz w:val="23"/>
          <w:szCs w:val="23"/>
          <w:lang w:val="en-US"/>
        </w:rPr>
        <w:t>3,150.11</w:t>
      </w:r>
      <w:r w:rsidR="0050732F" w:rsidRPr="0050732F">
        <w:rPr>
          <w:rFonts w:ascii="Arial" w:eastAsia="宋体" w:hAnsi="Arial" w:cs="Arial"/>
          <w:color w:val="000000"/>
          <w:sz w:val="23"/>
          <w:szCs w:val="23"/>
          <w:lang w:val="en-US"/>
        </w:rPr>
        <w:t>亿元，较上年末减少</w:t>
      </w:r>
      <w:r w:rsidR="0050732F" w:rsidRPr="0050732F">
        <w:rPr>
          <w:rFonts w:ascii="Arial" w:eastAsia="宋体" w:hAnsi="Arial" w:cs="Arial"/>
          <w:color w:val="000000"/>
          <w:sz w:val="23"/>
          <w:szCs w:val="23"/>
          <w:lang w:val="en-US"/>
        </w:rPr>
        <w:t>187.04</w:t>
      </w:r>
      <w:r w:rsidR="0050732F" w:rsidRPr="0050732F">
        <w:rPr>
          <w:rFonts w:ascii="Arial" w:eastAsia="宋体" w:hAnsi="Arial" w:cs="Arial"/>
          <w:color w:val="000000"/>
          <w:sz w:val="23"/>
          <w:szCs w:val="23"/>
          <w:lang w:val="en-US"/>
        </w:rPr>
        <w:t>亿元，占本公司贷款和垫款总额的</w:t>
      </w:r>
      <w:r w:rsidR="0050732F" w:rsidRPr="0050732F">
        <w:rPr>
          <w:rFonts w:ascii="Arial" w:eastAsia="宋体" w:hAnsi="Arial" w:cs="Arial"/>
          <w:color w:val="000000"/>
          <w:sz w:val="23"/>
          <w:szCs w:val="23"/>
          <w:lang w:val="en-US"/>
        </w:rPr>
        <w:t>5.26%</w:t>
      </w:r>
      <w:r w:rsidR="0050732F" w:rsidRPr="0050732F">
        <w:rPr>
          <w:rFonts w:ascii="Arial" w:eastAsia="宋体" w:hAnsi="Arial" w:cs="Arial"/>
          <w:color w:val="000000"/>
          <w:sz w:val="23"/>
          <w:szCs w:val="23"/>
          <w:lang w:val="en-US"/>
        </w:rPr>
        <w:t>，较上年末下降</w:t>
      </w:r>
      <w:r w:rsidR="0050732F" w:rsidRPr="0050732F">
        <w:rPr>
          <w:rFonts w:ascii="Arial" w:eastAsia="宋体" w:hAnsi="Arial" w:cs="Arial"/>
          <w:color w:val="000000"/>
          <w:sz w:val="23"/>
          <w:szCs w:val="23"/>
          <w:lang w:val="en-US"/>
        </w:rPr>
        <w:t>0.57</w:t>
      </w:r>
      <w:r w:rsidR="0050732F" w:rsidRPr="0050732F">
        <w:rPr>
          <w:rFonts w:ascii="Arial" w:eastAsia="宋体" w:hAnsi="Arial" w:cs="Arial"/>
          <w:color w:val="000000"/>
          <w:sz w:val="23"/>
          <w:szCs w:val="23"/>
          <w:lang w:val="en-US"/>
        </w:rPr>
        <w:t>个百分点。本公司房地产业贷款客户结构和区域结构保持良好，其中，高信用评级客户贷款余额占比超过七成；从项目区域看，本公司</w:t>
      </w:r>
      <w:r w:rsidR="0050732F" w:rsidRPr="0050732F">
        <w:rPr>
          <w:rFonts w:ascii="Arial" w:eastAsia="宋体" w:hAnsi="Arial" w:cs="Arial"/>
          <w:color w:val="000000"/>
          <w:sz w:val="23"/>
          <w:szCs w:val="23"/>
          <w:lang w:val="en-US"/>
        </w:rPr>
        <w:t>85%</w:t>
      </w:r>
      <w:r w:rsidR="0050732F" w:rsidRPr="0050732F">
        <w:rPr>
          <w:rFonts w:ascii="Arial" w:eastAsia="宋体" w:hAnsi="Arial" w:cs="Arial"/>
          <w:color w:val="000000"/>
          <w:sz w:val="23"/>
          <w:szCs w:val="23"/>
          <w:lang w:val="en-US"/>
        </w:rPr>
        <w:t>以上的房地产开发贷款余额分布在一、二线城市城区。本公司房地产业不良贷款率</w:t>
      </w:r>
      <w:r w:rsidR="0050732F" w:rsidRPr="0050732F">
        <w:rPr>
          <w:rFonts w:ascii="Arial" w:eastAsia="宋体" w:hAnsi="Arial" w:cs="Arial"/>
          <w:color w:val="000000"/>
          <w:sz w:val="23"/>
          <w:szCs w:val="23"/>
          <w:lang w:val="en-US"/>
        </w:rPr>
        <w:t>5.45%</w:t>
      </w:r>
      <w:r w:rsidR="0050732F" w:rsidRPr="0050732F">
        <w:rPr>
          <w:rFonts w:ascii="Arial" w:eastAsia="宋体" w:hAnsi="Arial" w:cs="Arial"/>
          <w:color w:val="000000"/>
          <w:sz w:val="23"/>
          <w:szCs w:val="23"/>
          <w:lang w:val="en-US"/>
        </w:rPr>
        <w:t>，较上年末上升</w:t>
      </w:r>
      <w:r w:rsidR="0050732F" w:rsidRPr="0050732F">
        <w:rPr>
          <w:rFonts w:ascii="Arial" w:eastAsia="宋体" w:hAnsi="Arial" w:cs="Arial"/>
          <w:color w:val="000000"/>
          <w:sz w:val="23"/>
          <w:szCs w:val="23"/>
          <w:lang w:val="en-US"/>
        </w:rPr>
        <w:t>1.46</w:t>
      </w:r>
      <w:r w:rsidR="0050732F" w:rsidRPr="0050732F">
        <w:rPr>
          <w:rFonts w:ascii="Arial" w:eastAsia="宋体" w:hAnsi="Arial" w:cs="Arial"/>
          <w:color w:val="000000"/>
          <w:sz w:val="23"/>
          <w:szCs w:val="23"/>
          <w:lang w:val="en-US"/>
        </w:rPr>
        <w:t>个百分点，主要是受个别高负债房地产客户风险进一步释放、风险处</w:t>
      </w:r>
      <w:r w:rsidR="0050732F" w:rsidRPr="0050732F">
        <w:rPr>
          <w:rFonts w:ascii="Arial" w:eastAsia="宋体" w:hAnsi="Arial" w:cs="Arial"/>
          <w:color w:val="000000"/>
          <w:sz w:val="23"/>
          <w:szCs w:val="23"/>
          <w:lang w:val="en-US"/>
        </w:rPr>
        <w:lastRenderedPageBreak/>
        <w:t>置进度较慢和房地产贷款余额下降的共同影响。本集团理财资金出资、委托贷款、合作机构主动管理的代销信托、主承销债务融资工具等不承担信用风险的业务余额合计</w:t>
      </w:r>
      <w:r w:rsidR="0050732F" w:rsidRPr="0050732F">
        <w:rPr>
          <w:rFonts w:ascii="Arial" w:eastAsia="宋体" w:hAnsi="Arial" w:cs="Arial"/>
          <w:color w:val="000000"/>
          <w:sz w:val="23"/>
          <w:szCs w:val="23"/>
          <w:lang w:val="en-US"/>
        </w:rPr>
        <w:t>2,475.47</w:t>
      </w:r>
      <w:r w:rsidR="0050732F" w:rsidRPr="0050732F">
        <w:rPr>
          <w:rFonts w:ascii="Arial" w:eastAsia="宋体" w:hAnsi="Arial" w:cs="Arial"/>
          <w:color w:val="000000"/>
          <w:sz w:val="23"/>
          <w:szCs w:val="23"/>
          <w:lang w:val="en-US"/>
        </w:rPr>
        <w:t>亿元，较上年末下降</w:t>
      </w:r>
      <w:r w:rsidR="0050732F" w:rsidRPr="0050732F">
        <w:rPr>
          <w:rFonts w:ascii="Arial" w:eastAsia="宋体" w:hAnsi="Arial" w:cs="Arial"/>
          <w:color w:val="000000"/>
          <w:sz w:val="23"/>
          <w:szCs w:val="23"/>
          <w:lang w:val="en-US"/>
        </w:rPr>
        <w:t>17.58%</w:t>
      </w:r>
      <w:r w:rsidR="0050732F" w:rsidRPr="0050732F">
        <w:rPr>
          <w:rFonts w:ascii="Arial" w:eastAsia="宋体" w:hAnsi="Arial" w:cs="Arial"/>
          <w:color w:val="000000"/>
          <w:sz w:val="23"/>
          <w:szCs w:val="23"/>
          <w:lang w:val="en-US"/>
        </w:rPr>
        <w:t>。</w:t>
      </w:r>
    </w:p>
    <w:p w14:paraId="5ABEB30B" w14:textId="77777777" w:rsidR="00361CE5" w:rsidRDefault="00361CE5" w:rsidP="0050732F">
      <w:pPr>
        <w:widowControl w:val="0"/>
        <w:spacing w:after="0" w:line="240" w:lineRule="auto"/>
        <w:ind w:left="426"/>
        <w:jc w:val="both"/>
        <w:rPr>
          <w:rFonts w:ascii="Arial" w:eastAsia="宋体" w:hAnsi="Arial" w:cs="Arial"/>
          <w:color w:val="000000"/>
          <w:sz w:val="23"/>
          <w:szCs w:val="23"/>
          <w:lang w:val="en-US"/>
        </w:rPr>
      </w:pPr>
    </w:p>
    <w:p w14:paraId="51F17D54" w14:textId="7A2295BD" w:rsidR="00B52B40" w:rsidRPr="0050732F" w:rsidRDefault="0050732F" w:rsidP="0050732F">
      <w:pPr>
        <w:widowControl w:val="0"/>
        <w:spacing w:after="0" w:line="240" w:lineRule="auto"/>
        <w:ind w:left="426"/>
        <w:jc w:val="both"/>
        <w:rPr>
          <w:rFonts w:ascii="Arial" w:eastAsia="宋体" w:hAnsi="Arial" w:cs="Arial"/>
          <w:color w:val="000000"/>
          <w:sz w:val="23"/>
          <w:szCs w:val="23"/>
          <w:lang w:val="en-US"/>
        </w:rPr>
      </w:pPr>
      <w:r w:rsidRPr="0050732F">
        <w:rPr>
          <w:rFonts w:ascii="Arial" w:eastAsia="宋体" w:hAnsi="Arial" w:cs="Arial"/>
          <w:color w:val="000000"/>
          <w:sz w:val="23"/>
          <w:szCs w:val="23"/>
          <w:lang w:val="en-US"/>
        </w:rPr>
        <w:t>截至报告期末，本公司及招银理财所涉及的地方政府融资平台广义口径业务余额</w:t>
      </w:r>
      <w:r w:rsidRPr="0050732F">
        <w:rPr>
          <w:rFonts w:ascii="Arial" w:eastAsia="宋体" w:hAnsi="Arial" w:cs="Arial"/>
          <w:color w:val="000000"/>
          <w:sz w:val="23"/>
          <w:szCs w:val="23"/>
          <w:lang w:val="en-US"/>
        </w:rPr>
        <w:t>2,485.73</w:t>
      </w:r>
      <w:r w:rsidRPr="0050732F">
        <w:rPr>
          <w:rFonts w:ascii="Arial" w:eastAsia="宋体" w:hAnsi="Arial" w:cs="Arial"/>
          <w:color w:val="000000"/>
          <w:sz w:val="23"/>
          <w:szCs w:val="23"/>
          <w:lang w:val="en-US"/>
        </w:rPr>
        <w:t>亿元（含实有及或有信贷、债券投资、自营及理财资金投资等业务），较上年末减少</w:t>
      </w:r>
      <w:r w:rsidRPr="0050732F">
        <w:rPr>
          <w:rFonts w:ascii="Arial" w:eastAsia="宋体" w:hAnsi="Arial" w:cs="Arial"/>
          <w:color w:val="000000"/>
          <w:sz w:val="23"/>
          <w:szCs w:val="23"/>
          <w:lang w:val="en-US"/>
        </w:rPr>
        <w:t>150.66</w:t>
      </w:r>
      <w:r w:rsidRPr="0050732F">
        <w:rPr>
          <w:rFonts w:ascii="Arial" w:eastAsia="宋体" w:hAnsi="Arial" w:cs="Arial"/>
          <w:color w:val="000000"/>
          <w:sz w:val="23"/>
          <w:szCs w:val="23"/>
          <w:lang w:val="en-US"/>
        </w:rPr>
        <w:t>亿元。其中，境内公司贷款余额</w:t>
      </w:r>
      <w:r w:rsidRPr="0050732F">
        <w:rPr>
          <w:rFonts w:ascii="Arial" w:eastAsia="宋体" w:hAnsi="Arial" w:cs="Arial"/>
          <w:color w:val="000000"/>
          <w:sz w:val="23"/>
          <w:szCs w:val="23"/>
          <w:lang w:val="en-US"/>
        </w:rPr>
        <w:t>1,372.89</w:t>
      </w:r>
      <w:r w:rsidRPr="0050732F">
        <w:rPr>
          <w:rFonts w:ascii="Arial" w:eastAsia="宋体" w:hAnsi="Arial" w:cs="Arial"/>
          <w:color w:val="000000"/>
          <w:sz w:val="23"/>
          <w:szCs w:val="23"/>
          <w:lang w:val="en-US"/>
        </w:rPr>
        <w:t>亿元，较上年末增加</w:t>
      </w:r>
      <w:r w:rsidRPr="0050732F">
        <w:rPr>
          <w:rFonts w:ascii="Arial" w:eastAsia="宋体" w:hAnsi="Arial" w:cs="Arial"/>
          <w:color w:val="000000"/>
          <w:sz w:val="23"/>
          <w:szCs w:val="23"/>
          <w:lang w:val="en-US"/>
        </w:rPr>
        <w:t>47.25</w:t>
      </w:r>
      <w:r w:rsidRPr="0050732F">
        <w:rPr>
          <w:rFonts w:ascii="Arial" w:eastAsia="宋体" w:hAnsi="Arial" w:cs="Arial"/>
          <w:color w:val="000000"/>
          <w:sz w:val="23"/>
          <w:szCs w:val="23"/>
          <w:lang w:val="en-US"/>
        </w:rPr>
        <w:t>亿元，占本公司贷款和垫款总额的</w:t>
      </w:r>
      <w:r w:rsidRPr="0050732F">
        <w:rPr>
          <w:rFonts w:ascii="Arial" w:eastAsia="宋体" w:hAnsi="Arial" w:cs="Arial"/>
          <w:color w:val="000000"/>
          <w:sz w:val="23"/>
          <w:szCs w:val="23"/>
          <w:lang w:val="en-US"/>
        </w:rPr>
        <w:t>2.29%</w:t>
      </w:r>
      <w:r w:rsidRPr="0050732F">
        <w:rPr>
          <w:rFonts w:ascii="Arial" w:eastAsia="宋体" w:hAnsi="Arial" w:cs="Arial"/>
          <w:color w:val="000000"/>
          <w:sz w:val="23"/>
          <w:szCs w:val="23"/>
          <w:lang w:val="en-US"/>
        </w:rPr>
        <w:t>，较上年末下降</w:t>
      </w:r>
      <w:r w:rsidRPr="0050732F">
        <w:rPr>
          <w:rFonts w:ascii="Arial" w:eastAsia="宋体" w:hAnsi="Arial" w:cs="Arial"/>
          <w:color w:val="000000"/>
          <w:sz w:val="23"/>
          <w:szCs w:val="23"/>
          <w:lang w:val="en-US"/>
        </w:rPr>
        <w:t>0.03</w:t>
      </w:r>
      <w:r w:rsidRPr="0050732F">
        <w:rPr>
          <w:rFonts w:ascii="Arial" w:eastAsia="宋体" w:hAnsi="Arial" w:cs="Arial"/>
          <w:color w:val="000000"/>
          <w:sz w:val="23"/>
          <w:szCs w:val="23"/>
          <w:lang w:val="en-US"/>
        </w:rPr>
        <w:t>个百分点。地方政府融资平台业务不良贷款率</w:t>
      </w:r>
      <w:r w:rsidRPr="0050732F">
        <w:rPr>
          <w:rFonts w:ascii="Arial" w:eastAsia="宋体" w:hAnsi="Arial" w:cs="Arial"/>
          <w:color w:val="000000"/>
          <w:sz w:val="23"/>
          <w:szCs w:val="23"/>
          <w:lang w:val="en-US"/>
        </w:rPr>
        <w:t>0.14%</w:t>
      </w:r>
      <w:r w:rsidRPr="0050732F">
        <w:rPr>
          <w:rFonts w:ascii="Arial" w:eastAsia="宋体" w:hAnsi="Arial" w:cs="Arial"/>
          <w:color w:val="000000"/>
          <w:sz w:val="23"/>
          <w:szCs w:val="23"/>
          <w:lang w:val="en-US"/>
        </w:rPr>
        <w:t>，资产质量保持较好水平。</w:t>
      </w:r>
    </w:p>
    <w:p w14:paraId="4733DE24" w14:textId="77777777" w:rsidR="00061E17" w:rsidRPr="00CF4670" w:rsidRDefault="007C101A">
      <w:pPr>
        <w:widowControl w:val="0"/>
        <w:autoSpaceDE w:val="0"/>
        <w:autoSpaceDN w:val="0"/>
        <w:adjustRightInd w:val="0"/>
        <w:spacing w:after="0" w:line="240" w:lineRule="auto"/>
        <w:jc w:val="both"/>
        <w:rPr>
          <w:rFonts w:ascii="Arial" w:eastAsia="宋体" w:hAnsi="Arial" w:cs="Arial"/>
          <w:sz w:val="23"/>
          <w:szCs w:val="23"/>
          <w:lang w:val="en-US"/>
        </w:rPr>
      </w:pPr>
      <w:r w:rsidRPr="00CF4670">
        <w:rPr>
          <w:rFonts w:ascii="Arial" w:eastAsia="宋体" w:hAnsi="Arial" w:cs="Arial"/>
          <w:b/>
          <w:noProof/>
          <w:color w:val="000000"/>
          <w:kern w:val="2"/>
          <w:sz w:val="23"/>
          <w:szCs w:val="23"/>
          <w:lang w:val="en-US"/>
        </w:rPr>
        <mc:AlternateContent>
          <mc:Choice Requires="wps">
            <w:drawing>
              <wp:anchor distT="0" distB="0" distL="114300" distR="114300" simplePos="0" relativeHeight="251661312" behindDoc="1" locked="0" layoutInCell="1" allowOverlap="1" wp14:anchorId="59B3D01C" wp14:editId="6243B02A">
                <wp:simplePos x="0" y="0"/>
                <wp:positionH relativeFrom="column">
                  <wp:posOffset>-40640</wp:posOffset>
                </wp:positionH>
                <wp:positionV relativeFrom="paragraph">
                  <wp:posOffset>185420</wp:posOffset>
                </wp:positionV>
                <wp:extent cx="1125220" cy="304800"/>
                <wp:effectExtent l="8255" t="0" r="0"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Rectangle: Rounded Corners 8" o:spid="_x0000_s1026" o:spt="2" style="position:absolute;left:0pt;margin-left:-3.2pt;margin-top:14.6pt;height:24pt;width:88.6pt;z-index:-251655168;mso-width-relative:page;mso-height-relative:page;" fillcolor="#FF0000" filled="t" stroked="f" coordsize="21600,21600" arcsize="0.166666666666667" o:gfxdata="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uRk981gAAAAgBAAAPAAAAAAAAAAEAIAAAACIAAABkcnMvZG93bnJl&#10;di54bWxQSwECFAAUAAAACACHTuJATYF7pHECAADfBAAADgAAAAAAAAABACAAAAAlAQAAZHJzL2Uy&#10;b0RvYy54bWxQSwUGAAAAAAYABgBZAQAACAYAAAAA&#10;">
                <v:fill type="gradient" on="t" color2="#FFCCCC" angle="45" focus="100%" focussize="0,0"/>
                <v:stroke on="f"/>
                <v:imagedata o:title=""/>
                <o:lock v:ext="edit" aspectratio="f"/>
              </v:roundrect>
            </w:pict>
          </mc:Fallback>
        </mc:AlternateContent>
      </w:r>
    </w:p>
    <w:p w14:paraId="2BDDEDC3" w14:textId="24B10C97" w:rsidR="00061E17" w:rsidRPr="00CF4670" w:rsidRDefault="006D70A4">
      <w:pPr>
        <w:widowControl w:val="0"/>
        <w:spacing w:after="0" w:line="240" w:lineRule="auto"/>
        <w:jc w:val="both"/>
        <w:rPr>
          <w:rFonts w:ascii="Arial" w:eastAsia="宋体" w:hAnsi="Arial" w:cs="Arial"/>
          <w:b/>
          <w:color w:val="000000"/>
          <w:kern w:val="2"/>
          <w:sz w:val="23"/>
          <w:szCs w:val="23"/>
          <w:lang w:val="en-US"/>
        </w:rPr>
      </w:pPr>
      <w:r>
        <w:rPr>
          <w:rFonts w:ascii="Arial" w:eastAsia="宋体" w:hAnsi="Arial" w:cs="Arial" w:hint="eastAsia"/>
          <w:b/>
          <w:color w:val="000000"/>
          <w:kern w:val="2"/>
          <w:sz w:val="23"/>
          <w:szCs w:val="23"/>
          <w:lang w:val="en-US"/>
        </w:rPr>
        <w:t>三</w:t>
      </w:r>
      <w:r w:rsidR="007C101A" w:rsidRPr="00CF4670">
        <w:rPr>
          <w:rFonts w:ascii="Arial" w:eastAsia="宋体" w:hAnsi="Arial" w:cs="Arial"/>
          <w:b/>
          <w:color w:val="000000"/>
          <w:kern w:val="2"/>
          <w:sz w:val="23"/>
          <w:szCs w:val="23"/>
          <w:lang w:val="en-US"/>
        </w:rPr>
        <w:t>、展望</w:t>
      </w:r>
      <w:r>
        <w:rPr>
          <w:rFonts w:ascii="Arial" w:eastAsia="宋体" w:hAnsi="Arial" w:cs="Arial" w:hint="eastAsia"/>
          <w:b/>
          <w:color w:val="000000"/>
          <w:kern w:val="2"/>
          <w:sz w:val="23"/>
          <w:szCs w:val="23"/>
          <w:lang w:val="en-US"/>
        </w:rPr>
        <w:t>和策略</w:t>
      </w:r>
    </w:p>
    <w:p w14:paraId="7BF70DC7" w14:textId="77777777" w:rsidR="00061E17" w:rsidRPr="00CF4670" w:rsidRDefault="00061E17">
      <w:pPr>
        <w:widowControl w:val="0"/>
        <w:spacing w:after="0" w:line="240" w:lineRule="auto"/>
        <w:jc w:val="both"/>
        <w:rPr>
          <w:rFonts w:ascii="Arial" w:eastAsia="宋体" w:hAnsi="Arial" w:cs="Arial"/>
          <w:sz w:val="23"/>
          <w:szCs w:val="23"/>
          <w:lang w:val="en-US"/>
        </w:rPr>
      </w:pPr>
    </w:p>
    <w:p w14:paraId="2B2276F2" w14:textId="42A7ECC3" w:rsidR="00AB35A9" w:rsidRPr="00AB35A9" w:rsidRDefault="00552522" w:rsidP="00AB35A9">
      <w:pPr>
        <w:widowControl w:val="0"/>
        <w:spacing w:after="0" w:line="240" w:lineRule="auto"/>
        <w:jc w:val="both"/>
        <w:rPr>
          <w:rFonts w:ascii="Arial" w:eastAsia="宋体" w:hAnsi="Arial" w:cs="Arial"/>
          <w:sz w:val="23"/>
          <w:szCs w:val="23"/>
          <w:lang w:val="en-HK"/>
        </w:rPr>
      </w:pPr>
      <w:r w:rsidRPr="00552522">
        <w:rPr>
          <w:rFonts w:ascii="Arial" w:eastAsia="宋体" w:hAnsi="Arial" w:cs="Arial" w:hint="eastAsia"/>
          <w:sz w:val="23"/>
          <w:szCs w:val="23"/>
          <w:lang w:val="en-HK"/>
        </w:rPr>
        <w:t>展望下半年，海外方面，</w:t>
      </w:r>
      <w:r w:rsidRPr="00552522">
        <w:rPr>
          <w:rFonts w:ascii="Arial" w:eastAsia="宋体" w:hAnsi="Arial" w:cs="Arial"/>
          <w:sz w:val="23"/>
          <w:szCs w:val="23"/>
          <w:lang w:val="en-HK"/>
        </w:rPr>
        <w:t>7</w:t>
      </w:r>
      <w:r w:rsidRPr="00552522">
        <w:rPr>
          <w:rFonts w:ascii="Arial" w:eastAsia="宋体" w:hAnsi="Arial" w:cs="Arial"/>
          <w:sz w:val="23"/>
          <w:szCs w:val="23"/>
          <w:lang w:val="en-HK"/>
        </w:rPr>
        <w:t>月议</w:t>
      </w:r>
      <w:proofErr w:type="gramStart"/>
      <w:r w:rsidRPr="00552522">
        <w:rPr>
          <w:rFonts w:ascii="Arial" w:eastAsia="宋体" w:hAnsi="Arial" w:cs="Arial"/>
          <w:sz w:val="23"/>
          <w:szCs w:val="23"/>
          <w:lang w:val="en-HK"/>
        </w:rPr>
        <w:t>息会议</w:t>
      </w:r>
      <w:proofErr w:type="gramEnd"/>
      <w:r w:rsidRPr="00552522">
        <w:rPr>
          <w:rFonts w:ascii="Arial" w:eastAsia="宋体" w:hAnsi="Arial" w:cs="Arial"/>
          <w:sz w:val="23"/>
          <w:szCs w:val="23"/>
          <w:lang w:val="en-HK"/>
        </w:rPr>
        <w:t>后，美联储此轮加息周期</w:t>
      </w:r>
      <w:r w:rsidR="00884499" w:rsidRPr="00884499">
        <w:rPr>
          <w:rFonts w:ascii="Arial" w:eastAsia="宋体" w:hAnsi="Arial" w:cs="Arial" w:hint="eastAsia"/>
          <w:sz w:val="23"/>
          <w:szCs w:val="23"/>
          <w:lang w:val="en-HK"/>
        </w:rPr>
        <w:t>已位于顶部区域</w:t>
      </w:r>
      <w:r w:rsidRPr="00552522">
        <w:rPr>
          <w:rFonts w:ascii="Arial" w:eastAsia="宋体" w:hAnsi="Arial" w:cs="Arial"/>
          <w:sz w:val="23"/>
          <w:szCs w:val="23"/>
          <w:lang w:val="en-HK"/>
        </w:rPr>
        <w:t>，</w:t>
      </w:r>
      <w:r w:rsidR="00884499" w:rsidRPr="00884499">
        <w:rPr>
          <w:rFonts w:ascii="Arial" w:eastAsia="宋体" w:hAnsi="Arial" w:cs="Arial" w:hint="eastAsia"/>
          <w:sz w:val="23"/>
          <w:szCs w:val="23"/>
          <w:lang w:val="en-HK"/>
        </w:rPr>
        <w:t>但由于通胀和就业仍具韧性，美国此轮加息周期或在高位持续更久。随着货币紧缩的即期和滞后效应逐步显现，美国经济增长动能仍趋于回落</w:t>
      </w:r>
      <w:r w:rsidRPr="00552522">
        <w:rPr>
          <w:rFonts w:ascii="Arial" w:eastAsia="宋体" w:hAnsi="Arial" w:cs="Arial"/>
          <w:sz w:val="23"/>
          <w:szCs w:val="23"/>
          <w:lang w:val="en-HK"/>
        </w:rPr>
        <w:t>。</w:t>
      </w:r>
      <w:r w:rsidRPr="00552522">
        <w:rPr>
          <w:rFonts w:ascii="Arial" w:eastAsia="宋体" w:hAnsi="Arial" w:cs="Arial" w:hint="eastAsia"/>
          <w:sz w:val="23"/>
          <w:szCs w:val="23"/>
          <w:lang w:val="en-HK"/>
        </w:rPr>
        <w:t>国内方面，复苏与转型将交织成为下半年经济的主线，政策托举下增长动能有望边际增强，预计全年</w:t>
      </w:r>
      <w:r w:rsidRPr="00552522">
        <w:rPr>
          <w:rFonts w:ascii="Arial" w:eastAsia="宋体" w:hAnsi="Arial" w:cs="Arial"/>
          <w:sz w:val="23"/>
          <w:szCs w:val="23"/>
          <w:lang w:val="en-HK"/>
        </w:rPr>
        <w:t>GDP</w:t>
      </w:r>
      <w:r w:rsidRPr="00552522">
        <w:rPr>
          <w:rFonts w:ascii="Arial" w:eastAsia="宋体" w:hAnsi="Arial" w:cs="Arial"/>
          <w:sz w:val="23"/>
          <w:szCs w:val="23"/>
          <w:lang w:val="en-HK"/>
        </w:rPr>
        <w:t>增速将实现</w:t>
      </w:r>
      <w:r w:rsidRPr="00552522">
        <w:rPr>
          <w:rFonts w:ascii="Arial" w:eastAsia="宋体" w:hAnsi="Arial" w:cs="Arial"/>
          <w:sz w:val="23"/>
          <w:szCs w:val="23"/>
          <w:lang w:val="en-HK"/>
        </w:rPr>
        <w:t>5%</w:t>
      </w:r>
      <w:r w:rsidRPr="00552522">
        <w:rPr>
          <w:rFonts w:ascii="Arial" w:eastAsia="宋体" w:hAnsi="Arial" w:cs="Arial"/>
          <w:sz w:val="23"/>
          <w:szCs w:val="23"/>
          <w:lang w:val="en-HK"/>
        </w:rPr>
        <w:t>的增长目标。</w:t>
      </w:r>
      <w:r w:rsidRPr="00552522">
        <w:rPr>
          <w:rFonts w:ascii="Arial" w:eastAsia="宋体" w:hAnsi="Arial" w:cs="Arial" w:hint="eastAsia"/>
          <w:sz w:val="23"/>
          <w:szCs w:val="23"/>
          <w:lang w:val="en-HK"/>
        </w:rPr>
        <w:t>当前科技作为第一生产力的驱动作用将更加凸显，经济增长动力加速切换，客户资产负债表从“扩表”转向“调表”，风险环境日趋复杂。这些趋势性变化正在深刻影响银行业的发展，既带来新的重大挑战，也带来新的重大机遇，坚定了本公司推进价值银行战略，塑造差异化竞争新优势，打造马利</w:t>
      </w:r>
      <w:proofErr w:type="gramStart"/>
      <w:r w:rsidRPr="00552522">
        <w:rPr>
          <w:rFonts w:ascii="Arial" w:eastAsia="宋体" w:hAnsi="Arial" w:cs="Arial" w:hint="eastAsia"/>
          <w:sz w:val="23"/>
          <w:szCs w:val="23"/>
          <w:lang w:val="en-HK"/>
        </w:rPr>
        <w:t>克增长</w:t>
      </w:r>
      <w:proofErr w:type="gramEnd"/>
      <w:r w:rsidRPr="00552522">
        <w:rPr>
          <w:rFonts w:ascii="Arial" w:eastAsia="宋体" w:hAnsi="Arial" w:cs="Arial" w:hint="eastAsia"/>
          <w:sz w:val="23"/>
          <w:szCs w:val="23"/>
          <w:lang w:val="en-HK"/>
        </w:rPr>
        <w:t>曲线的决心。</w:t>
      </w:r>
    </w:p>
    <w:p w14:paraId="72CAFBFA" w14:textId="77777777" w:rsidR="00AB35A9" w:rsidRPr="00AB35A9" w:rsidRDefault="00AB35A9" w:rsidP="00CF4670">
      <w:pPr>
        <w:widowControl w:val="0"/>
        <w:spacing w:after="0" w:line="240" w:lineRule="auto"/>
        <w:jc w:val="both"/>
        <w:rPr>
          <w:rFonts w:ascii="Arial" w:eastAsia="宋体" w:hAnsi="Arial" w:cs="Arial"/>
          <w:sz w:val="23"/>
          <w:szCs w:val="23"/>
          <w:lang w:val="en-HK"/>
        </w:rPr>
      </w:pPr>
    </w:p>
    <w:p w14:paraId="7E08B769" w14:textId="6A3B8DBC" w:rsidR="00061E17" w:rsidRPr="00AB35A9" w:rsidRDefault="00AB35A9">
      <w:pPr>
        <w:widowControl w:val="0"/>
        <w:spacing w:after="0" w:line="240" w:lineRule="auto"/>
        <w:jc w:val="both"/>
        <w:rPr>
          <w:rFonts w:ascii="Arial" w:eastAsia="宋体" w:hAnsi="Arial" w:cs="Arial"/>
          <w:sz w:val="23"/>
          <w:szCs w:val="23"/>
          <w:lang w:val="en-HK"/>
        </w:rPr>
      </w:pPr>
      <w:r w:rsidRPr="00AB35A9">
        <w:rPr>
          <w:rFonts w:ascii="Arial" w:eastAsia="宋体" w:hAnsi="Arial" w:cs="Arial"/>
          <w:sz w:val="23"/>
          <w:szCs w:val="23"/>
          <w:lang w:val="en-HK"/>
        </w:rPr>
        <w:t>本公司下半年的具体经营策略</w:t>
      </w:r>
      <w:r>
        <w:rPr>
          <w:rFonts w:ascii="Arial" w:eastAsia="宋体" w:hAnsi="Arial" w:cs="Arial" w:hint="eastAsia"/>
          <w:sz w:val="23"/>
          <w:szCs w:val="23"/>
          <w:lang w:val="en-HK"/>
        </w:rPr>
        <w:t>为：</w:t>
      </w:r>
      <w:r w:rsidR="00552522" w:rsidRPr="00552522">
        <w:rPr>
          <w:rFonts w:ascii="Arial" w:eastAsia="宋体" w:hAnsi="Arial" w:cs="Arial" w:hint="eastAsia"/>
          <w:sz w:val="23"/>
          <w:szCs w:val="23"/>
          <w:lang w:val="en-HK"/>
        </w:rPr>
        <w:t>一是推动四大板块形成</w:t>
      </w:r>
      <w:proofErr w:type="gramStart"/>
      <w:r w:rsidR="00552522" w:rsidRPr="00552522">
        <w:rPr>
          <w:rFonts w:ascii="Arial" w:eastAsia="宋体" w:hAnsi="Arial" w:cs="Arial" w:hint="eastAsia"/>
          <w:sz w:val="23"/>
          <w:szCs w:val="23"/>
          <w:lang w:val="en-HK"/>
        </w:rPr>
        <w:t>既特色</w:t>
      </w:r>
      <w:proofErr w:type="gramEnd"/>
      <w:r w:rsidR="00552522" w:rsidRPr="00552522">
        <w:rPr>
          <w:rFonts w:ascii="Arial" w:eastAsia="宋体" w:hAnsi="Arial" w:cs="Arial" w:hint="eastAsia"/>
          <w:sz w:val="23"/>
          <w:szCs w:val="23"/>
          <w:lang w:val="en-HK"/>
        </w:rPr>
        <w:t>鲜明又均衡协同发展的业务格局。二是加快推进财富管理转型。三是加强资产组织能力建设。四是全面推进数字招行建设。五是持续打造堡垒</w:t>
      </w:r>
      <w:proofErr w:type="gramStart"/>
      <w:r w:rsidR="00552522" w:rsidRPr="00552522">
        <w:rPr>
          <w:rFonts w:ascii="Arial" w:eastAsia="宋体" w:hAnsi="Arial" w:cs="Arial" w:hint="eastAsia"/>
          <w:sz w:val="23"/>
          <w:szCs w:val="23"/>
          <w:lang w:val="en-HK"/>
        </w:rPr>
        <w:t>式全面</w:t>
      </w:r>
      <w:proofErr w:type="gramEnd"/>
      <w:r w:rsidR="00552522" w:rsidRPr="00552522">
        <w:rPr>
          <w:rFonts w:ascii="Arial" w:eastAsia="宋体" w:hAnsi="Arial" w:cs="Arial" w:hint="eastAsia"/>
          <w:sz w:val="23"/>
          <w:szCs w:val="23"/>
          <w:lang w:val="en-HK"/>
        </w:rPr>
        <w:t>风险与合</w:t>
      </w:r>
      <w:proofErr w:type="gramStart"/>
      <w:r w:rsidR="00552522" w:rsidRPr="00552522">
        <w:rPr>
          <w:rFonts w:ascii="Arial" w:eastAsia="宋体" w:hAnsi="Arial" w:cs="Arial" w:hint="eastAsia"/>
          <w:sz w:val="23"/>
          <w:szCs w:val="23"/>
          <w:lang w:val="en-HK"/>
        </w:rPr>
        <w:t>规</w:t>
      </w:r>
      <w:proofErr w:type="gramEnd"/>
      <w:r w:rsidR="00552522" w:rsidRPr="00552522">
        <w:rPr>
          <w:rFonts w:ascii="Arial" w:eastAsia="宋体" w:hAnsi="Arial" w:cs="Arial" w:hint="eastAsia"/>
          <w:sz w:val="23"/>
          <w:szCs w:val="23"/>
          <w:lang w:val="en-HK"/>
        </w:rPr>
        <w:t>管理体系。六是深入落实重点区域发展战略。七是建设与价值银行相匹配的管理体系。</w:t>
      </w:r>
    </w:p>
    <w:p w14:paraId="2F7135A0" w14:textId="77777777" w:rsidR="00061E17" w:rsidRPr="00CF4670" w:rsidRDefault="00061E17">
      <w:pPr>
        <w:widowControl w:val="0"/>
        <w:spacing w:after="0" w:line="240" w:lineRule="auto"/>
        <w:jc w:val="both"/>
        <w:rPr>
          <w:rFonts w:ascii="Arial" w:eastAsia="宋体" w:hAnsi="Arial" w:cs="Arial"/>
          <w:kern w:val="2"/>
          <w:sz w:val="23"/>
          <w:szCs w:val="23"/>
          <w:lang w:val="en-US"/>
        </w:rPr>
      </w:pPr>
    </w:p>
    <w:p w14:paraId="252305FB" w14:textId="77777777" w:rsidR="00061E17" w:rsidRPr="00CF4670" w:rsidRDefault="007C101A">
      <w:pPr>
        <w:widowControl w:val="0"/>
        <w:tabs>
          <w:tab w:val="left" w:pos="3640"/>
          <w:tab w:val="left" w:pos="4289"/>
          <w:tab w:val="center" w:pos="4936"/>
        </w:tabs>
        <w:spacing w:after="0" w:line="240" w:lineRule="auto"/>
        <w:ind w:firstLineChars="200" w:firstLine="460"/>
        <w:rPr>
          <w:rFonts w:ascii="Arial" w:eastAsia="宋体" w:hAnsi="Arial" w:cs="Arial"/>
          <w:kern w:val="2"/>
          <w:sz w:val="23"/>
          <w:szCs w:val="23"/>
          <w:lang w:val="en-US"/>
        </w:rPr>
      </w:pPr>
      <w:r w:rsidRPr="00CF4670">
        <w:rPr>
          <w:rFonts w:ascii="Arial" w:eastAsia="宋体" w:hAnsi="Arial" w:cs="Arial"/>
          <w:kern w:val="2"/>
          <w:sz w:val="23"/>
          <w:szCs w:val="23"/>
          <w:lang w:val="en-US"/>
        </w:rPr>
        <w:tab/>
      </w:r>
      <w:r w:rsidRPr="00CF4670">
        <w:rPr>
          <w:rFonts w:ascii="Arial" w:eastAsia="宋体" w:hAnsi="Arial" w:cs="Arial"/>
          <w:kern w:val="2"/>
          <w:sz w:val="23"/>
          <w:szCs w:val="23"/>
          <w:lang w:val="en-US"/>
        </w:rPr>
        <w:tab/>
      </w:r>
      <w:r w:rsidRPr="00CF4670">
        <w:rPr>
          <w:rFonts w:ascii="Arial" w:eastAsia="宋体" w:hAnsi="Arial" w:cs="Arial"/>
          <w:kern w:val="2"/>
          <w:sz w:val="23"/>
          <w:szCs w:val="23"/>
          <w:lang w:val="en-US"/>
        </w:rPr>
        <w:t>（完）</w:t>
      </w:r>
    </w:p>
    <w:p w14:paraId="4BA93344" w14:textId="77777777" w:rsidR="00061E17" w:rsidRPr="00CF4670" w:rsidRDefault="00061E17">
      <w:pPr>
        <w:spacing w:after="0" w:line="320" w:lineRule="exact"/>
        <w:jc w:val="both"/>
        <w:rPr>
          <w:rFonts w:ascii="Arial" w:eastAsia="宋体" w:hAnsi="Arial" w:cs="Arial"/>
          <w:b/>
          <w:color w:val="000000"/>
          <w:kern w:val="2"/>
          <w:sz w:val="23"/>
          <w:szCs w:val="23"/>
          <w:lang w:val="en-US"/>
        </w:rPr>
      </w:pPr>
    </w:p>
    <w:p w14:paraId="3520A3AD" w14:textId="77777777" w:rsidR="00061E17" w:rsidRPr="00CF4670" w:rsidRDefault="007C101A">
      <w:pPr>
        <w:spacing w:after="0" w:line="320" w:lineRule="exact"/>
        <w:jc w:val="both"/>
        <w:rPr>
          <w:rFonts w:ascii="Arial" w:eastAsia="宋体" w:hAnsi="Arial" w:cs="Arial"/>
          <w:b/>
          <w:color w:val="000000"/>
          <w:kern w:val="2"/>
          <w:sz w:val="23"/>
          <w:szCs w:val="23"/>
          <w:lang w:val="en-US"/>
        </w:rPr>
      </w:pPr>
      <w:r w:rsidRPr="00CF4670">
        <w:rPr>
          <w:rFonts w:ascii="Arial" w:eastAsia="宋体" w:hAnsi="Arial" w:cs="Arial"/>
          <w:b/>
          <w:color w:val="000000"/>
          <w:kern w:val="2"/>
          <w:sz w:val="23"/>
          <w:szCs w:val="23"/>
          <w:lang w:val="en-US"/>
        </w:rPr>
        <w:t>投资者查询</w:t>
      </w:r>
    </w:p>
    <w:p w14:paraId="4033F3DF" w14:textId="77777777" w:rsidR="00061E17" w:rsidRPr="00CF4670" w:rsidRDefault="007C101A">
      <w:pPr>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招商银行董事会办公室</w:t>
      </w:r>
      <w:r w:rsidRPr="00CF4670">
        <w:rPr>
          <w:rFonts w:ascii="Arial" w:eastAsia="宋体" w:hAnsi="Arial" w:cs="Arial"/>
          <w:color w:val="000000"/>
          <w:kern w:val="2"/>
          <w:sz w:val="23"/>
          <w:szCs w:val="23"/>
          <w:lang w:val="en-US"/>
        </w:rPr>
        <w:t xml:space="preserve"> </w:t>
      </w:r>
      <w:r w:rsidRPr="00CF4670">
        <w:rPr>
          <w:rFonts w:ascii="Arial" w:eastAsia="宋体" w:hAnsi="Arial" w:cs="Arial"/>
          <w:color w:val="000000"/>
          <w:kern w:val="2"/>
          <w:sz w:val="23"/>
          <w:szCs w:val="23"/>
          <w:lang w:val="en-US"/>
        </w:rPr>
        <w:t>投资者关系管理团队</w:t>
      </w:r>
    </w:p>
    <w:p w14:paraId="241F8B8E" w14:textId="0AC11B13" w:rsidR="00061E17" w:rsidRPr="00CF4670" w:rsidRDefault="007C101A">
      <w:pPr>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电话</w:t>
      </w:r>
      <w:r w:rsidR="00CF4670"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86</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755 2269 9082</w:t>
      </w:r>
    </w:p>
    <w:p w14:paraId="69397C62" w14:textId="2D387049" w:rsidR="00061E17" w:rsidRPr="00CF4670" w:rsidRDefault="007C101A">
      <w:pPr>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传真</w:t>
      </w:r>
      <w:r w:rsidR="00CF4670"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86</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755 8319 5109</w:t>
      </w:r>
    </w:p>
    <w:p w14:paraId="5D65A579" w14:textId="693865D3" w:rsidR="00061E17" w:rsidRPr="00CF4670" w:rsidRDefault="007C101A">
      <w:pPr>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电邮</w:t>
      </w:r>
      <w:r w:rsidR="00CF4670" w:rsidRPr="00CF4670">
        <w:rPr>
          <w:rFonts w:ascii="Arial" w:eastAsia="宋体" w:hAnsi="Arial" w:cs="Arial"/>
          <w:color w:val="000000"/>
          <w:kern w:val="2"/>
          <w:sz w:val="23"/>
          <w:szCs w:val="23"/>
          <w:lang w:val="en-US"/>
        </w:rPr>
        <w:t>：</w:t>
      </w:r>
      <w:r w:rsidRPr="009432A2">
        <w:rPr>
          <w:rFonts w:ascii="Arial" w:eastAsia="宋体" w:hAnsi="Arial" w:cs="Arial"/>
          <w:color w:val="000000"/>
          <w:sz w:val="23"/>
          <w:szCs w:val="23"/>
          <w:lang w:val="en-US"/>
        </w:rPr>
        <w:t>IR@cmbchina.com</w:t>
      </w:r>
    </w:p>
    <w:p w14:paraId="1F8A060D" w14:textId="77777777" w:rsidR="00061E17" w:rsidRPr="00CF4670" w:rsidRDefault="00061E17">
      <w:pPr>
        <w:spacing w:after="0" w:line="320" w:lineRule="exact"/>
        <w:jc w:val="both"/>
        <w:rPr>
          <w:rFonts w:ascii="Arial" w:eastAsia="宋体" w:hAnsi="Arial" w:cs="Arial"/>
          <w:color w:val="000000"/>
          <w:kern w:val="2"/>
          <w:sz w:val="23"/>
          <w:szCs w:val="23"/>
          <w:lang w:val="en-US"/>
        </w:rPr>
      </w:pPr>
    </w:p>
    <w:p w14:paraId="0D16D434" w14:textId="77777777" w:rsidR="00061E17" w:rsidRPr="00CF4670" w:rsidRDefault="007C101A">
      <w:pPr>
        <w:spacing w:after="0" w:line="320" w:lineRule="exact"/>
        <w:jc w:val="both"/>
        <w:rPr>
          <w:rFonts w:ascii="Arial" w:eastAsia="宋体" w:hAnsi="Arial" w:cs="Arial"/>
          <w:color w:val="000000"/>
          <w:kern w:val="2"/>
          <w:sz w:val="23"/>
          <w:szCs w:val="23"/>
          <w:lang w:val="en-US"/>
        </w:rPr>
      </w:pPr>
      <w:r w:rsidRPr="00CF4670">
        <w:rPr>
          <w:rFonts w:ascii="Arial" w:eastAsia="宋体" w:hAnsi="Arial" w:cs="Arial"/>
          <w:b/>
          <w:color w:val="000000"/>
          <w:kern w:val="2"/>
          <w:sz w:val="23"/>
          <w:szCs w:val="23"/>
          <w:lang w:val="en-US"/>
        </w:rPr>
        <w:t>媒体查询</w:t>
      </w:r>
    </w:p>
    <w:p w14:paraId="3FD77A33" w14:textId="77777777" w:rsidR="00061E17" w:rsidRPr="00CF4670" w:rsidRDefault="007C101A">
      <w:pPr>
        <w:widowControl w:val="0"/>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王明月</w:t>
      </w:r>
    </w:p>
    <w:p w14:paraId="4877CFEB" w14:textId="77777777" w:rsidR="00061E17" w:rsidRPr="00CF4670" w:rsidRDefault="007C101A">
      <w:pPr>
        <w:widowControl w:val="0"/>
        <w:spacing w:after="0" w:line="320" w:lineRule="exact"/>
        <w:jc w:val="both"/>
        <w:rPr>
          <w:rFonts w:ascii="Arial" w:eastAsia="宋体" w:hAnsi="Arial" w:cs="Arial"/>
          <w:color w:val="000000"/>
          <w:kern w:val="2"/>
          <w:sz w:val="23"/>
          <w:szCs w:val="23"/>
          <w:lang w:val="en-US"/>
        </w:rPr>
      </w:pPr>
      <w:proofErr w:type="gramStart"/>
      <w:r w:rsidRPr="00CF4670">
        <w:rPr>
          <w:rFonts w:ascii="Arial" w:eastAsia="宋体" w:hAnsi="Arial" w:cs="Arial"/>
          <w:color w:val="000000"/>
          <w:kern w:val="2"/>
          <w:sz w:val="23"/>
          <w:szCs w:val="23"/>
          <w:lang w:val="en-US"/>
        </w:rPr>
        <w:t>汇思讯中国</w:t>
      </w:r>
      <w:proofErr w:type="gramEnd"/>
      <w:r w:rsidRPr="00CF4670">
        <w:rPr>
          <w:rFonts w:ascii="Arial" w:eastAsia="宋体" w:hAnsi="Arial" w:cs="Arial"/>
          <w:color w:val="000000"/>
          <w:kern w:val="2"/>
          <w:sz w:val="23"/>
          <w:szCs w:val="23"/>
          <w:lang w:val="en-US"/>
        </w:rPr>
        <w:t>有限公司</w:t>
      </w:r>
    </w:p>
    <w:p w14:paraId="37703899" w14:textId="33A75088" w:rsidR="00061E17" w:rsidRPr="00CF4670" w:rsidRDefault="007C101A">
      <w:pPr>
        <w:widowControl w:val="0"/>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电话</w:t>
      </w:r>
      <w:r w:rsidR="00CF4670"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852</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2232 3978</w:t>
      </w:r>
    </w:p>
    <w:p w14:paraId="67381155" w14:textId="34C93511" w:rsidR="00061E17" w:rsidRPr="00CF4670" w:rsidRDefault="007C101A">
      <w:pPr>
        <w:widowControl w:val="0"/>
        <w:spacing w:after="0" w:line="320" w:lineRule="exact"/>
        <w:jc w:val="both"/>
        <w:rPr>
          <w:rFonts w:ascii="Arial" w:eastAsia="宋体" w:hAnsi="Arial" w:cs="Arial"/>
          <w:color w:val="000000"/>
          <w:kern w:val="2"/>
          <w:sz w:val="23"/>
          <w:szCs w:val="23"/>
          <w:lang w:val="en-US"/>
        </w:rPr>
      </w:pPr>
      <w:r w:rsidRPr="00CF4670">
        <w:rPr>
          <w:rFonts w:ascii="Arial" w:eastAsia="宋体" w:hAnsi="Arial" w:cs="Arial"/>
          <w:color w:val="000000"/>
          <w:kern w:val="2"/>
          <w:sz w:val="23"/>
          <w:szCs w:val="23"/>
          <w:lang w:val="en-US"/>
        </w:rPr>
        <w:t>传真</w:t>
      </w:r>
      <w:r w:rsidR="00CF4670"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852</w:t>
      </w:r>
      <w:r w:rsidRPr="00CF4670">
        <w:rPr>
          <w:rFonts w:ascii="Arial" w:eastAsia="宋体" w:hAnsi="Arial" w:cs="Arial"/>
          <w:color w:val="000000"/>
          <w:kern w:val="2"/>
          <w:sz w:val="23"/>
          <w:szCs w:val="23"/>
          <w:lang w:val="en-US"/>
        </w:rPr>
        <w:t>）</w:t>
      </w:r>
      <w:r w:rsidRPr="00CF4670">
        <w:rPr>
          <w:rFonts w:ascii="Arial" w:eastAsia="宋体" w:hAnsi="Arial" w:cs="Arial"/>
          <w:color w:val="000000"/>
          <w:kern w:val="2"/>
          <w:sz w:val="23"/>
          <w:szCs w:val="23"/>
          <w:lang w:val="en-US"/>
        </w:rPr>
        <w:t>2117 0869</w:t>
      </w:r>
    </w:p>
    <w:p w14:paraId="61F63139" w14:textId="09B94EBA" w:rsidR="00061E17" w:rsidRPr="009432A2" w:rsidRDefault="007C101A" w:rsidP="00F92F42">
      <w:pPr>
        <w:spacing w:after="0" w:line="320" w:lineRule="exact"/>
        <w:jc w:val="both"/>
        <w:rPr>
          <w:rFonts w:ascii="Arial" w:eastAsia="宋体" w:hAnsi="Arial" w:cs="Arial"/>
          <w:sz w:val="23"/>
          <w:szCs w:val="23"/>
          <w:lang w:val="en-US"/>
        </w:rPr>
      </w:pPr>
      <w:r w:rsidRPr="00CF4670">
        <w:rPr>
          <w:rFonts w:ascii="Arial" w:eastAsia="宋体" w:hAnsi="Arial" w:cs="Arial"/>
          <w:color w:val="000000"/>
          <w:kern w:val="2"/>
          <w:sz w:val="23"/>
          <w:szCs w:val="23"/>
          <w:lang w:val="en-US"/>
        </w:rPr>
        <w:t>电邮</w:t>
      </w:r>
      <w:r w:rsidR="00CF4670" w:rsidRPr="00CF4670">
        <w:rPr>
          <w:rFonts w:ascii="Arial" w:eastAsia="宋体" w:hAnsi="Arial" w:cs="Arial"/>
          <w:color w:val="000000"/>
          <w:kern w:val="2"/>
          <w:sz w:val="23"/>
          <w:szCs w:val="23"/>
          <w:lang w:val="en-US"/>
        </w:rPr>
        <w:t>：</w:t>
      </w:r>
      <w:r w:rsidR="00CF4670" w:rsidRPr="009432A2">
        <w:rPr>
          <w:rFonts w:ascii="Arial" w:eastAsia="宋体" w:hAnsi="Arial" w:cs="Arial"/>
          <w:sz w:val="23"/>
          <w:szCs w:val="23"/>
          <w:lang w:val="en-US"/>
        </w:rPr>
        <w:t>vivian.wang@christensencomms.com</w:t>
      </w:r>
    </w:p>
    <w:sectPr w:rsidR="00061E17" w:rsidRPr="009432A2">
      <w:headerReference w:type="default" r:id="rId9"/>
      <w:footerReference w:type="default" r:id="rId10"/>
      <w:pgSz w:w="11906" w:h="16838"/>
      <w:pgMar w:top="1418" w:right="1247" w:bottom="1304" w:left="1247" w:header="737" w:footer="6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D391" w14:textId="77777777" w:rsidR="00F874B2" w:rsidRDefault="00F874B2">
      <w:pPr>
        <w:spacing w:after="0" w:line="240" w:lineRule="auto"/>
      </w:pPr>
      <w:r>
        <w:separator/>
      </w:r>
    </w:p>
  </w:endnote>
  <w:endnote w:type="continuationSeparator" w:id="0">
    <w:p w14:paraId="7C8FAC51" w14:textId="77777777" w:rsidR="00F874B2" w:rsidRDefault="00F8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77AA" w14:textId="77777777" w:rsidR="00061E17" w:rsidRDefault="007C101A">
    <w:pPr>
      <w:pStyle w:val="a5"/>
      <w:jc w:val="center"/>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761D16" w:rsidRPr="00761D16">
      <w:rPr>
        <w:rFonts w:ascii="Calibri" w:eastAsia="PMingLiU" w:hAnsi="Calibri"/>
        <w:noProof/>
        <w:lang w:val="zh-HK" w:eastAsia="zh-TW"/>
      </w:rPr>
      <w:t>6</w:t>
    </w:r>
    <w:r>
      <w:rPr>
        <w:rFonts w:ascii="Calibri" w:hAnsi="Calibri"/>
      </w:rPr>
      <w:fldChar w:fldCharType="end"/>
    </w:r>
  </w:p>
  <w:p w14:paraId="16DDA228" w14:textId="77777777" w:rsidR="00061E17" w:rsidRDefault="00061E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9590" w14:textId="77777777" w:rsidR="00F874B2" w:rsidRDefault="00F874B2">
      <w:pPr>
        <w:spacing w:after="0" w:line="240" w:lineRule="auto"/>
      </w:pPr>
      <w:r>
        <w:separator/>
      </w:r>
    </w:p>
  </w:footnote>
  <w:footnote w:type="continuationSeparator" w:id="0">
    <w:p w14:paraId="3B58B8C6" w14:textId="77777777" w:rsidR="00F874B2" w:rsidRDefault="00F874B2">
      <w:pPr>
        <w:spacing w:after="0" w:line="240" w:lineRule="auto"/>
      </w:pPr>
      <w:r>
        <w:continuationSeparator/>
      </w:r>
    </w:p>
  </w:footnote>
  <w:footnote w:id="1">
    <w:p w14:paraId="2B640760" w14:textId="786ACC56" w:rsidR="00CF4670" w:rsidRPr="009432A2" w:rsidRDefault="00CF4670" w:rsidP="00900F32">
      <w:pPr>
        <w:pStyle w:val="a9"/>
        <w:spacing w:line="240" w:lineRule="auto"/>
        <w:rPr>
          <w:rFonts w:ascii="Arial" w:eastAsia="宋体" w:hAnsi="Arial" w:cs="Arial"/>
        </w:rPr>
      </w:pPr>
      <w:r w:rsidRPr="009432A2">
        <w:rPr>
          <w:rStyle w:val="af"/>
          <w:rFonts w:ascii="Arial" w:eastAsia="宋体" w:hAnsi="Arial" w:cs="Arial"/>
        </w:rPr>
        <w:footnoteRef/>
      </w:r>
      <w:r w:rsidRPr="009432A2">
        <w:rPr>
          <w:rFonts w:ascii="Arial" w:eastAsia="宋体" w:hAnsi="Arial" w:cs="Arial"/>
        </w:rPr>
        <w:t xml:space="preserve"> </w:t>
      </w:r>
      <w:r w:rsidRPr="009432A2">
        <w:rPr>
          <w:rFonts w:ascii="Arial" w:eastAsia="宋体" w:hAnsi="Arial" w:cs="Arial"/>
          <w:bCs/>
        </w:rPr>
        <w:t>由于本期融资性理财和撮合交易纳入</w:t>
      </w:r>
      <w:r w:rsidRPr="009432A2">
        <w:rPr>
          <w:rFonts w:ascii="Arial" w:eastAsia="宋体" w:hAnsi="Arial" w:cs="Arial"/>
          <w:bCs/>
        </w:rPr>
        <w:t>FPA</w:t>
      </w:r>
      <w:r w:rsidRPr="009432A2">
        <w:rPr>
          <w:rFonts w:ascii="Arial" w:eastAsia="宋体" w:hAnsi="Arial" w:cs="Arial"/>
          <w:bCs/>
        </w:rPr>
        <w:t>的范畴有所调整，据此对期</w:t>
      </w:r>
      <w:proofErr w:type="gramStart"/>
      <w:r w:rsidRPr="009432A2">
        <w:rPr>
          <w:rFonts w:ascii="Arial" w:eastAsia="宋体" w:hAnsi="Arial" w:cs="Arial"/>
          <w:bCs/>
        </w:rPr>
        <w:t>初数据</w:t>
      </w:r>
      <w:proofErr w:type="gramEnd"/>
      <w:r w:rsidRPr="009432A2">
        <w:rPr>
          <w:rFonts w:ascii="Arial" w:eastAsia="宋体" w:hAnsi="Arial" w:cs="Arial"/>
          <w:bCs/>
        </w:rPr>
        <w:t>进行同口径调整，调整后的期初</w:t>
      </w:r>
      <w:r w:rsidRPr="009432A2">
        <w:rPr>
          <w:rFonts w:ascii="Arial" w:eastAsia="宋体" w:hAnsi="Arial" w:cs="Arial"/>
          <w:bCs/>
        </w:rPr>
        <w:t>FPA</w:t>
      </w:r>
      <w:r w:rsidRPr="009432A2">
        <w:rPr>
          <w:rFonts w:ascii="Arial" w:eastAsia="宋体" w:hAnsi="Arial" w:cs="Arial"/>
          <w:bCs/>
        </w:rPr>
        <w:t>余额为</w:t>
      </w:r>
      <w:r w:rsidRPr="009432A2">
        <w:rPr>
          <w:rFonts w:ascii="Arial" w:eastAsia="宋体" w:hAnsi="Arial" w:cs="Arial"/>
          <w:bCs/>
        </w:rPr>
        <w:t>50,881.27</w:t>
      </w:r>
      <w:r w:rsidRPr="009432A2">
        <w:rPr>
          <w:rFonts w:ascii="Arial" w:eastAsia="宋体" w:hAnsi="Arial" w:cs="Arial"/>
          <w:bCs/>
        </w:rPr>
        <w:t>亿元，其中传统融资</w:t>
      </w:r>
      <w:r w:rsidRPr="009432A2">
        <w:rPr>
          <w:rFonts w:ascii="Arial" w:eastAsia="宋体" w:hAnsi="Arial" w:cs="Arial"/>
          <w:bCs/>
        </w:rPr>
        <w:t>27,982.44</w:t>
      </w:r>
      <w:r w:rsidRPr="009432A2">
        <w:rPr>
          <w:rFonts w:ascii="Arial" w:eastAsia="宋体" w:hAnsi="Arial" w:cs="Arial"/>
          <w:bCs/>
        </w:rPr>
        <w:t>亿元，非传统融资</w:t>
      </w:r>
      <w:r w:rsidRPr="009432A2">
        <w:rPr>
          <w:rFonts w:ascii="Arial" w:eastAsia="宋体" w:hAnsi="Arial" w:cs="Arial"/>
          <w:bCs/>
        </w:rPr>
        <w:t>22,898.83</w:t>
      </w:r>
      <w:r w:rsidRPr="009432A2">
        <w:rPr>
          <w:rFonts w:ascii="Arial" w:eastAsia="宋体" w:hAnsi="Arial" w:cs="Arial"/>
          <w:bCs/>
        </w:rPr>
        <w:t>亿元。</w:t>
      </w:r>
    </w:p>
  </w:footnote>
  <w:footnote w:id="2">
    <w:p w14:paraId="29337AB0" w14:textId="53815ADE" w:rsidR="00CF4670" w:rsidRPr="009432A2" w:rsidRDefault="009432A2" w:rsidP="00900F32">
      <w:pPr>
        <w:pStyle w:val="a9"/>
        <w:spacing w:line="240" w:lineRule="auto"/>
        <w:rPr>
          <w:rFonts w:ascii="Arial" w:eastAsia="宋体" w:hAnsi="Arial" w:cs="Arial"/>
        </w:rPr>
      </w:pPr>
      <w:r w:rsidRPr="009432A2">
        <w:rPr>
          <w:rStyle w:val="af"/>
          <w:rFonts w:ascii="Arial" w:eastAsia="宋体" w:hAnsi="Arial" w:cs="Arial"/>
        </w:rPr>
        <w:footnoteRef/>
      </w:r>
      <w:r w:rsidRPr="009432A2">
        <w:rPr>
          <w:rFonts w:ascii="Arial" w:eastAsia="宋体" w:hAnsi="Arial" w:cs="Arial"/>
        </w:rPr>
        <w:t>指在活钱管理、保障管理、稳健投资和进取投资四类财富管理产品中配置了两类及以上的双金（金卡及金葵花）客户。</w:t>
      </w:r>
    </w:p>
  </w:footnote>
  <w:footnote w:id="3">
    <w:p w14:paraId="0C0F3C99" w14:textId="77777777" w:rsidR="008B27B3" w:rsidRPr="009432A2" w:rsidRDefault="008B27B3" w:rsidP="008B27B3">
      <w:pPr>
        <w:pStyle w:val="a9"/>
        <w:spacing w:line="240" w:lineRule="auto"/>
        <w:rPr>
          <w:rFonts w:ascii="Arial" w:eastAsia="宋体" w:hAnsi="Arial" w:cs="Arial"/>
          <w:bCs/>
        </w:rPr>
      </w:pPr>
      <w:r w:rsidRPr="009432A2">
        <w:rPr>
          <w:rStyle w:val="af"/>
          <w:rFonts w:ascii="Arial" w:eastAsia="宋体" w:hAnsi="Arial" w:cs="Arial"/>
        </w:rPr>
        <w:footnoteRef/>
      </w:r>
      <w:r w:rsidRPr="009432A2">
        <w:rPr>
          <w:rStyle w:val="af"/>
          <w:rFonts w:ascii="Arial" w:eastAsia="宋体" w:hAnsi="Arial" w:cs="Arial"/>
        </w:rPr>
        <w:t xml:space="preserve"> </w:t>
      </w:r>
      <w:r w:rsidRPr="009432A2">
        <w:rPr>
          <w:rStyle w:val="af"/>
          <w:rFonts w:ascii="Arial" w:eastAsia="宋体" w:hAnsi="Arial" w:cs="Arial"/>
          <w:vertAlign w:val="baseline"/>
        </w:rPr>
        <w:t>非传统融资包括资产经营、自营非标、融资性理财、本公司主承销债务融资工具、撮合交易、融资租赁、跨境联动融资、牵头银团贷款八大部分。</w:t>
      </w:r>
    </w:p>
  </w:footnote>
  <w:footnote w:id="4">
    <w:p w14:paraId="3F946843" w14:textId="77777777" w:rsidR="008B27B3" w:rsidRPr="009432A2" w:rsidRDefault="008B27B3" w:rsidP="008B27B3">
      <w:pPr>
        <w:pStyle w:val="a9"/>
        <w:spacing w:line="240" w:lineRule="auto"/>
        <w:rPr>
          <w:rFonts w:ascii="Arial" w:eastAsia="宋体" w:hAnsi="Arial" w:cs="Arial"/>
        </w:rPr>
      </w:pPr>
      <w:r w:rsidRPr="009432A2">
        <w:rPr>
          <w:rStyle w:val="af"/>
          <w:rFonts w:ascii="Arial" w:eastAsia="宋体" w:hAnsi="Arial" w:cs="Arial"/>
        </w:rPr>
        <w:footnoteRef/>
      </w:r>
      <w:r w:rsidRPr="009432A2">
        <w:rPr>
          <w:rStyle w:val="af"/>
          <w:rFonts w:ascii="Arial" w:eastAsia="宋体" w:hAnsi="Arial" w:cs="Arial"/>
        </w:rPr>
        <w:t xml:space="preserve"> </w:t>
      </w:r>
      <w:r w:rsidRPr="009432A2">
        <w:rPr>
          <w:rFonts w:ascii="Arial" w:eastAsia="宋体" w:hAnsi="Arial" w:cs="Arial"/>
        </w:rPr>
        <w:t>招商基金和招银国际</w:t>
      </w:r>
      <w:proofErr w:type="gramStart"/>
      <w:r w:rsidRPr="009432A2">
        <w:rPr>
          <w:rFonts w:ascii="Arial" w:eastAsia="宋体" w:hAnsi="Arial" w:cs="Arial"/>
        </w:rPr>
        <w:t>的资管业务</w:t>
      </w:r>
      <w:proofErr w:type="gramEnd"/>
      <w:r w:rsidRPr="009432A2">
        <w:rPr>
          <w:rFonts w:ascii="Arial" w:eastAsia="宋体" w:hAnsi="Arial" w:cs="Arial"/>
        </w:rPr>
        <w:t>规模均为含其子公司的数据。</w:t>
      </w:r>
    </w:p>
  </w:footnote>
  <w:footnote w:id="5">
    <w:p w14:paraId="2D974737" w14:textId="1849577A" w:rsidR="00CF4670" w:rsidRDefault="00CF4670" w:rsidP="00900F32">
      <w:pPr>
        <w:pStyle w:val="a9"/>
        <w:spacing w:line="240" w:lineRule="auto"/>
      </w:pPr>
      <w:r w:rsidRPr="009432A2">
        <w:rPr>
          <w:rStyle w:val="af"/>
          <w:rFonts w:ascii="Arial" w:eastAsia="宋体" w:hAnsi="Arial" w:cs="Arial"/>
        </w:rPr>
        <w:footnoteRef/>
      </w:r>
      <w:r w:rsidRPr="009432A2">
        <w:rPr>
          <w:rFonts w:ascii="Arial" w:eastAsia="宋体" w:hAnsi="Arial" w:cs="Arial"/>
        </w:rPr>
        <w:t xml:space="preserve"> </w:t>
      </w:r>
      <w:r w:rsidRPr="009432A2">
        <w:rPr>
          <w:rFonts w:ascii="Arial" w:eastAsia="宋体" w:hAnsi="Arial" w:cs="Arial"/>
        </w:rPr>
        <w:t>可用性指在一段给定时间内正常工作情况的占比，云平台整体可用性为在云平台上运行的各重要系统可用性的算数平均数。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05E5" w14:textId="717C512F" w:rsidR="00061E17" w:rsidRDefault="007C101A">
    <w:pPr>
      <w:pStyle w:val="a7"/>
      <w:wordWrap w:val="0"/>
      <w:jc w:val="right"/>
      <w:rPr>
        <w:rFonts w:ascii="宋体" w:eastAsia="宋体" w:hAnsi="宋体"/>
        <w:b/>
      </w:rPr>
    </w:pPr>
    <w:r>
      <w:rPr>
        <w:rFonts w:ascii="Calibri" w:hAnsi="Calibri"/>
        <w:noProof/>
        <w:lang w:val="en-US"/>
      </w:rPr>
      <mc:AlternateContent>
        <mc:Choice Requires="wps">
          <w:drawing>
            <wp:anchor distT="0" distB="0" distL="114300" distR="114300" simplePos="0" relativeHeight="251659264" behindDoc="0" locked="0" layoutInCell="1" allowOverlap="1" wp14:anchorId="70D15182" wp14:editId="2930DBEB">
              <wp:simplePos x="0" y="0"/>
              <wp:positionH relativeFrom="column">
                <wp:posOffset>-814705</wp:posOffset>
              </wp:positionH>
              <wp:positionV relativeFrom="paragraph">
                <wp:posOffset>196215</wp:posOffset>
              </wp:positionV>
              <wp:extent cx="7581900" cy="224790"/>
              <wp:effectExtent l="5715" t="0" r="3810" b="381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581900" cy="224790"/>
                      </a:xfrm>
                      <a:prstGeom prst="roundRect">
                        <a:avLst>
                          <a:gd name="adj" fmla="val 0"/>
                        </a:avLst>
                      </a:prstGeom>
                      <a:gradFill rotWithShape="1">
                        <a:gsLst>
                          <a:gs pos="0">
                            <a:srgbClr val="FF0000">
                              <a:alpha val="92000"/>
                            </a:srgbClr>
                          </a:gs>
                          <a:gs pos="100000">
                            <a:srgbClr val="FFFFFF"/>
                          </a:gs>
                        </a:gsLst>
                        <a:lin ang="5400000" scaled="1"/>
                      </a:gradFill>
                      <a:ln>
                        <a:noFill/>
                      </a:ln>
                    </wps:spPr>
                    <wps:bodyPr rot="0" vert="horz" wrap="square" lIns="91440" tIns="45720" rIns="91440" bIns="45720" anchor="ctr" anchorCtr="0" upright="1">
                      <a:noAutofit/>
                    </wps:bodyPr>
                  </wps:wsp>
                </a:graphicData>
              </a:graphic>
            </wp:anchor>
          </w:drawing>
        </mc:Choice>
        <mc:Fallback xmlns:wpsCustomData="http://www.wps.cn/officeDocument/2013/wpsCustomData">
          <w:pict>
            <v:roundrect id="Rectangle: Rounded Corners 14" o:spid="_x0000_s1026" o:spt="2" style="position:absolute;left:0pt;flip:x y;margin-left:-64.15pt;margin-top:15.45pt;height:17.7pt;width:597pt;z-index:251659264;v-text-anchor:middle;mso-width-relative:page;mso-height-relative:page;" fillcolor="#FF0000" filled="t" stroked="f" coordsize="21600,21600" arcsize="0" o:gfxdata="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5Wg5C2gAAAAsBAAAPAAAAAAAAAAEAIAAAACIAAABkcnMvZG93bnJl&#10;di54bWxQSwECFAAUAAAACACHTuJAwkvY4m0CAADdBAAADgAAAAAAAAABACAAAAApAQAAZHJzL2Uy&#10;b0RvYy54bWxQSwUGAAAAAAYABgBZAQAACAYAAAAA&#10;">
              <v:fill type="gradient" on="t" color2="#FFFFFF" opacity="60293f" focus="100%" focussize="0,0" rotate="t"/>
              <v:stroke on="f"/>
              <v:imagedata o:title=""/>
              <o:lock v:ext="edit" aspectratio="f"/>
            </v:roundrect>
          </w:pict>
        </mc:Fallback>
      </mc:AlternateContent>
    </w:r>
    <w:r>
      <w:rPr>
        <w:rFonts w:ascii="Calibri" w:hAnsi="Calibri"/>
        <w:b/>
        <w:noProof/>
        <w:lang w:val="en-US"/>
      </w:rPr>
      <w:drawing>
        <wp:anchor distT="0" distB="0" distL="114300" distR="114300" simplePos="0" relativeHeight="251660288" behindDoc="0" locked="0" layoutInCell="1" allowOverlap="1" wp14:anchorId="52718B3B" wp14:editId="68F72D80">
          <wp:simplePos x="0" y="0"/>
          <wp:positionH relativeFrom="column">
            <wp:posOffset>-382270</wp:posOffset>
          </wp:positionH>
          <wp:positionV relativeFrom="paragraph">
            <wp:posOffset>-347980</wp:posOffset>
          </wp:positionV>
          <wp:extent cx="2150745" cy="582295"/>
          <wp:effectExtent l="0" t="0" r="190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0800000" flipH="1" flipV="1">
                    <a:off x="0" y="0"/>
                    <a:ext cx="2150745" cy="582295"/>
                  </a:xfrm>
                  <a:prstGeom prst="rect">
                    <a:avLst/>
                  </a:prstGeom>
                  <a:noFill/>
                  <a:ln>
                    <a:noFill/>
                  </a:ln>
                </pic:spPr>
              </pic:pic>
            </a:graphicData>
          </a:graphic>
        </wp:anchor>
      </w:drawing>
    </w:r>
    <w:r>
      <w:rPr>
        <w:rFonts w:ascii="Calibri" w:eastAsia="等线" w:hAnsi="Calibri"/>
        <w:b/>
      </w:rPr>
      <w:t>202</w:t>
    </w:r>
    <w:r w:rsidR="00CF4670">
      <w:rPr>
        <w:rFonts w:ascii="Calibri" w:eastAsia="等线" w:hAnsi="Calibri"/>
        <w:b/>
      </w:rPr>
      <w:t>3</w:t>
    </w:r>
    <w:r>
      <w:rPr>
        <w:rFonts w:ascii="宋体" w:eastAsia="宋体" w:hAnsi="宋体" w:hint="eastAsia"/>
        <w:b/>
      </w:rPr>
      <w:t>年中期业绩新闻稿</w:t>
    </w:r>
  </w:p>
  <w:p w14:paraId="3D78119C" w14:textId="77777777" w:rsidR="00061E17" w:rsidRDefault="00061E17">
    <w:pPr>
      <w:pStyle w:val="a7"/>
      <w:wordWrap w:val="0"/>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667"/>
    <w:multiLevelType w:val="multilevel"/>
    <w:tmpl w:val="0EC136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4412E9"/>
    <w:multiLevelType w:val="multilevel"/>
    <w:tmpl w:val="534412E9"/>
    <w:lvl w:ilvl="0">
      <w:start w:val="1"/>
      <w:numFmt w:val="bullet"/>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2" w15:restartNumberingAfterBreak="0">
    <w:nsid w:val="638540F5"/>
    <w:multiLevelType w:val="multilevel"/>
    <w:tmpl w:val="638540F5"/>
    <w:lvl w:ilvl="0">
      <w:start w:val="1"/>
      <w:numFmt w:val="bullet"/>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3" w15:restartNumberingAfterBreak="0">
    <w:nsid w:val="6B821B8E"/>
    <w:multiLevelType w:val="multilevel"/>
    <w:tmpl w:val="6B821B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06AA9"/>
    <w:multiLevelType w:val="hybridMultilevel"/>
    <w:tmpl w:val="628E6360"/>
    <w:lvl w:ilvl="0" w:tplc="E1BEDBCE">
      <w:start w:val="1"/>
      <w:numFmt w:val="bullet"/>
      <w:lvlText w:val="•"/>
      <w:lvlJc w:val="left"/>
      <w:pPr>
        <w:tabs>
          <w:tab w:val="num" w:pos="720"/>
        </w:tabs>
        <w:ind w:left="720" w:hanging="360"/>
      </w:pPr>
      <w:rPr>
        <w:rFonts w:ascii="Arial" w:hAnsi="Arial" w:hint="default"/>
      </w:rPr>
    </w:lvl>
    <w:lvl w:ilvl="1" w:tplc="F70E7E68" w:tentative="1">
      <w:start w:val="1"/>
      <w:numFmt w:val="bullet"/>
      <w:lvlText w:val="•"/>
      <w:lvlJc w:val="left"/>
      <w:pPr>
        <w:tabs>
          <w:tab w:val="num" w:pos="1440"/>
        </w:tabs>
        <w:ind w:left="1440" w:hanging="360"/>
      </w:pPr>
      <w:rPr>
        <w:rFonts w:ascii="Arial" w:hAnsi="Arial" w:hint="default"/>
      </w:rPr>
    </w:lvl>
    <w:lvl w:ilvl="2" w:tplc="E8EAEEEA" w:tentative="1">
      <w:start w:val="1"/>
      <w:numFmt w:val="bullet"/>
      <w:lvlText w:val="•"/>
      <w:lvlJc w:val="left"/>
      <w:pPr>
        <w:tabs>
          <w:tab w:val="num" w:pos="2160"/>
        </w:tabs>
        <w:ind w:left="2160" w:hanging="360"/>
      </w:pPr>
      <w:rPr>
        <w:rFonts w:ascii="Arial" w:hAnsi="Arial" w:hint="default"/>
      </w:rPr>
    </w:lvl>
    <w:lvl w:ilvl="3" w:tplc="4C8C23B0" w:tentative="1">
      <w:start w:val="1"/>
      <w:numFmt w:val="bullet"/>
      <w:lvlText w:val="•"/>
      <w:lvlJc w:val="left"/>
      <w:pPr>
        <w:tabs>
          <w:tab w:val="num" w:pos="2880"/>
        </w:tabs>
        <w:ind w:left="2880" w:hanging="360"/>
      </w:pPr>
      <w:rPr>
        <w:rFonts w:ascii="Arial" w:hAnsi="Arial" w:hint="default"/>
      </w:rPr>
    </w:lvl>
    <w:lvl w:ilvl="4" w:tplc="A45876B8" w:tentative="1">
      <w:start w:val="1"/>
      <w:numFmt w:val="bullet"/>
      <w:lvlText w:val="•"/>
      <w:lvlJc w:val="left"/>
      <w:pPr>
        <w:tabs>
          <w:tab w:val="num" w:pos="3600"/>
        </w:tabs>
        <w:ind w:left="3600" w:hanging="360"/>
      </w:pPr>
      <w:rPr>
        <w:rFonts w:ascii="Arial" w:hAnsi="Arial" w:hint="default"/>
      </w:rPr>
    </w:lvl>
    <w:lvl w:ilvl="5" w:tplc="DB944CE4" w:tentative="1">
      <w:start w:val="1"/>
      <w:numFmt w:val="bullet"/>
      <w:lvlText w:val="•"/>
      <w:lvlJc w:val="left"/>
      <w:pPr>
        <w:tabs>
          <w:tab w:val="num" w:pos="4320"/>
        </w:tabs>
        <w:ind w:left="4320" w:hanging="360"/>
      </w:pPr>
      <w:rPr>
        <w:rFonts w:ascii="Arial" w:hAnsi="Arial" w:hint="default"/>
      </w:rPr>
    </w:lvl>
    <w:lvl w:ilvl="6" w:tplc="57A0FF4C" w:tentative="1">
      <w:start w:val="1"/>
      <w:numFmt w:val="bullet"/>
      <w:lvlText w:val="•"/>
      <w:lvlJc w:val="left"/>
      <w:pPr>
        <w:tabs>
          <w:tab w:val="num" w:pos="5040"/>
        </w:tabs>
        <w:ind w:left="5040" w:hanging="360"/>
      </w:pPr>
      <w:rPr>
        <w:rFonts w:ascii="Arial" w:hAnsi="Arial" w:hint="default"/>
      </w:rPr>
    </w:lvl>
    <w:lvl w:ilvl="7" w:tplc="B85C2036" w:tentative="1">
      <w:start w:val="1"/>
      <w:numFmt w:val="bullet"/>
      <w:lvlText w:val="•"/>
      <w:lvlJc w:val="left"/>
      <w:pPr>
        <w:tabs>
          <w:tab w:val="num" w:pos="5760"/>
        </w:tabs>
        <w:ind w:left="5760" w:hanging="360"/>
      </w:pPr>
      <w:rPr>
        <w:rFonts w:ascii="Arial" w:hAnsi="Arial" w:hint="default"/>
      </w:rPr>
    </w:lvl>
    <w:lvl w:ilvl="8" w:tplc="1F9859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1978A8"/>
    <w:multiLevelType w:val="multilevel"/>
    <w:tmpl w:val="761978A8"/>
    <w:lvl w:ilvl="0">
      <w:start w:val="1"/>
      <w:numFmt w:val="taiwaneseCountingThousand"/>
      <w:lvlText w:val="%1、"/>
      <w:lvlJc w:val="left"/>
      <w:pPr>
        <w:tabs>
          <w:tab w:val="left" w:pos="465"/>
        </w:tabs>
        <w:ind w:left="465" w:hanging="465"/>
      </w:pPr>
      <w:rPr>
        <w:rFonts w:eastAsia="宋体"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6" w15:restartNumberingAfterBreak="0">
    <w:nsid w:val="7EAA1BB6"/>
    <w:multiLevelType w:val="multilevel"/>
    <w:tmpl w:val="7EAA1BB6"/>
    <w:lvl w:ilvl="0">
      <w:start w:val="1"/>
      <w:numFmt w:val="bullet"/>
      <w:lvlText w:val=""/>
      <w:lvlJc w:val="left"/>
      <w:pPr>
        <w:ind w:left="480" w:hanging="480"/>
      </w:pPr>
      <w:rPr>
        <w:rFonts w:ascii="Wingdings" w:hAnsi="Wingdings" w:hint="default"/>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642543927">
    <w:abstractNumId w:val="6"/>
  </w:num>
  <w:num w:numId="2" w16cid:durableId="1949845952">
    <w:abstractNumId w:val="2"/>
  </w:num>
  <w:num w:numId="3" w16cid:durableId="1650549836">
    <w:abstractNumId w:val="1"/>
  </w:num>
  <w:num w:numId="4" w16cid:durableId="171914372">
    <w:abstractNumId w:val="5"/>
  </w:num>
  <w:num w:numId="5" w16cid:durableId="1278291370">
    <w:abstractNumId w:val="0"/>
  </w:num>
  <w:num w:numId="6" w16cid:durableId="1547840614">
    <w:abstractNumId w:val="3"/>
  </w:num>
  <w:num w:numId="7" w16cid:durableId="591862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C5"/>
    <w:rsid w:val="00002B63"/>
    <w:rsid w:val="00004EA1"/>
    <w:rsid w:val="00007CFC"/>
    <w:rsid w:val="00012CB1"/>
    <w:rsid w:val="00014316"/>
    <w:rsid w:val="00015C4E"/>
    <w:rsid w:val="00016CEE"/>
    <w:rsid w:val="0001731F"/>
    <w:rsid w:val="0002429A"/>
    <w:rsid w:val="00030801"/>
    <w:rsid w:val="0003188B"/>
    <w:rsid w:val="00034E1F"/>
    <w:rsid w:val="000352A7"/>
    <w:rsid w:val="0003565D"/>
    <w:rsid w:val="0003642D"/>
    <w:rsid w:val="0004166B"/>
    <w:rsid w:val="000465D4"/>
    <w:rsid w:val="00046D81"/>
    <w:rsid w:val="00047F35"/>
    <w:rsid w:val="00050658"/>
    <w:rsid w:val="00050B0A"/>
    <w:rsid w:val="00051E9A"/>
    <w:rsid w:val="00061E17"/>
    <w:rsid w:val="00061E97"/>
    <w:rsid w:val="000626B6"/>
    <w:rsid w:val="000738BC"/>
    <w:rsid w:val="00075251"/>
    <w:rsid w:val="00076D81"/>
    <w:rsid w:val="00090030"/>
    <w:rsid w:val="00090CE2"/>
    <w:rsid w:val="000939DE"/>
    <w:rsid w:val="00095AFB"/>
    <w:rsid w:val="000962AC"/>
    <w:rsid w:val="00097A8F"/>
    <w:rsid w:val="000A0C22"/>
    <w:rsid w:val="000A23B4"/>
    <w:rsid w:val="000A2B1C"/>
    <w:rsid w:val="000A2FBE"/>
    <w:rsid w:val="000A50DC"/>
    <w:rsid w:val="000A5EF6"/>
    <w:rsid w:val="000B104C"/>
    <w:rsid w:val="000C0D7B"/>
    <w:rsid w:val="000C26BF"/>
    <w:rsid w:val="000D1167"/>
    <w:rsid w:val="000D381C"/>
    <w:rsid w:val="000E0A9C"/>
    <w:rsid w:val="000F17DE"/>
    <w:rsid w:val="000F2D15"/>
    <w:rsid w:val="000F3F21"/>
    <w:rsid w:val="000F6486"/>
    <w:rsid w:val="00101E28"/>
    <w:rsid w:val="0010710A"/>
    <w:rsid w:val="001103A4"/>
    <w:rsid w:val="00122158"/>
    <w:rsid w:val="00122AEE"/>
    <w:rsid w:val="00124061"/>
    <w:rsid w:val="0014214A"/>
    <w:rsid w:val="001454A7"/>
    <w:rsid w:val="0014566B"/>
    <w:rsid w:val="00145C87"/>
    <w:rsid w:val="001463F8"/>
    <w:rsid w:val="00154841"/>
    <w:rsid w:val="001579B2"/>
    <w:rsid w:val="00157A9B"/>
    <w:rsid w:val="0016149B"/>
    <w:rsid w:val="00163A10"/>
    <w:rsid w:val="001663C7"/>
    <w:rsid w:val="00174A1E"/>
    <w:rsid w:val="00174FD0"/>
    <w:rsid w:val="0018626D"/>
    <w:rsid w:val="00186F7F"/>
    <w:rsid w:val="00190B3E"/>
    <w:rsid w:val="0019389A"/>
    <w:rsid w:val="00193CE4"/>
    <w:rsid w:val="00194551"/>
    <w:rsid w:val="0019766A"/>
    <w:rsid w:val="001A135F"/>
    <w:rsid w:val="001A1AC7"/>
    <w:rsid w:val="001A4064"/>
    <w:rsid w:val="001A6751"/>
    <w:rsid w:val="001B6D51"/>
    <w:rsid w:val="001C44EA"/>
    <w:rsid w:val="001D01BA"/>
    <w:rsid w:val="001D7693"/>
    <w:rsid w:val="001E0319"/>
    <w:rsid w:val="001E250E"/>
    <w:rsid w:val="001E6CAB"/>
    <w:rsid w:val="001F00D9"/>
    <w:rsid w:val="001F1F3C"/>
    <w:rsid w:val="001F28D4"/>
    <w:rsid w:val="002015ED"/>
    <w:rsid w:val="00201C0C"/>
    <w:rsid w:val="00202D6A"/>
    <w:rsid w:val="00207841"/>
    <w:rsid w:val="002124CC"/>
    <w:rsid w:val="00213C34"/>
    <w:rsid w:val="002155D0"/>
    <w:rsid w:val="002323AB"/>
    <w:rsid w:val="002342FF"/>
    <w:rsid w:val="002344EA"/>
    <w:rsid w:val="002346A7"/>
    <w:rsid w:val="00237D27"/>
    <w:rsid w:val="0024025D"/>
    <w:rsid w:val="00246A0D"/>
    <w:rsid w:val="00247192"/>
    <w:rsid w:val="00252A03"/>
    <w:rsid w:val="002531CD"/>
    <w:rsid w:val="00253F99"/>
    <w:rsid w:val="00260106"/>
    <w:rsid w:val="002621E5"/>
    <w:rsid w:val="00262BF0"/>
    <w:rsid w:val="002646C9"/>
    <w:rsid w:val="002661A4"/>
    <w:rsid w:val="00266C03"/>
    <w:rsid w:val="002721D6"/>
    <w:rsid w:val="002730BA"/>
    <w:rsid w:val="0027319C"/>
    <w:rsid w:val="002757F3"/>
    <w:rsid w:val="00277F3C"/>
    <w:rsid w:val="0028520D"/>
    <w:rsid w:val="00292C90"/>
    <w:rsid w:val="0029470B"/>
    <w:rsid w:val="00295820"/>
    <w:rsid w:val="00296D4B"/>
    <w:rsid w:val="002A1400"/>
    <w:rsid w:val="002A45D4"/>
    <w:rsid w:val="002A46D6"/>
    <w:rsid w:val="002A4AB6"/>
    <w:rsid w:val="002C5A38"/>
    <w:rsid w:val="002C768D"/>
    <w:rsid w:val="002D0084"/>
    <w:rsid w:val="002D50D5"/>
    <w:rsid w:val="002E2EC3"/>
    <w:rsid w:val="002E328E"/>
    <w:rsid w:val="002E3A2F"/>
    <w:rsid w:val="002E6D35"/>
    <w:rsid w:val="002F0B05"/>
    <w:rsid w:val="002F1D58"/>
    <w:rsid w:val="002F399A"/>
    <w:rsid w:val="00300691"/>
    <w:rsid w:val="00302869"/>
    <w:rsid w:val="003075B7"/>
    <w:rsid w:val="00310B64"/>
    <w:rsid w:val="00312EEC"/>
    <w:rsid w:val="003218E8"/>
    <w:rsid w:val="00321BDC"/>
    <w:rsid w:val="003258EF"/>
    <w:rsid w:val="00325A06"/>
    <w:rsid w:val="00331A85"/>
    <w:rsid w:val="00332B7C"/>
    <w:rsid w:val="00333D29"/>
    <w:rsid w:val="003344C0"/>
    <w:rsid w:val="00336BBC"/>
    <w:rsid w:val="00337FBB"/>
    <w:rsid w:val="003405A2"/>
    <w:rsid w:val="00352443"/>
    <w:rsid w:val="0035380F"/>
    <w:rsid w:val="0035625F"/>
    <w:rsid w:val="00361CE5"/>
    <w:rsid w:val="00367215"/>
    <w:rsid w:val="00367C80"/>
    <w:rsid w:val="003712D8"/>
    <w:rsid w:val="003736C5"/>
    <w:rsid w:val="00377F58"/>
    <w:rsid w:val="00381E3E"/>
    <w:rsid w:val="003820A9"/>
    <w:rsid w:val="00383738"/>
    <w:rsid w:val="00387C67"/>
    <w:rsid w:val="003906E8"/>
    <w:rsid w:val="00395B05"/>
    <w:rsid w:val="00397152"/>
    <w:rsid w:val="003A0230"/>
    <w:rsid w:val="003B230A"/>
    <w:rsid w:val="003C1C48"/>
    <w:rsid w:val="003C1EF9"/>
    <w:rsid w:val="003C355F"/>
    <w:rsid w:val="003C5816"/>
    <w:rsid w:val="003C6BC3"/>
    <w:rsid w:val="003D1B73"/>
    <w:rsid w:val="003D1CCD"/>
    <w:rsid w:val="003E20BD"/>
    <w:rsid w:val="003E3084"/>
    <w:rsid w:val="003E42EC"/>
    <w:rsid w:val="003F3B24"/>
    <w:rsid w:val="00401B78"/>
    <w:rsid w:val="0041572E"/>
    <w:rsid w:val="00417F01"/>
    <w:rsid w:val="00422B10"/>
    <w:rsid w:val="00425F82"/>
    <w:rsid w:val="0043534E"/>
    <w:rsid w:val="00441ABF"/>
    <w:rsid w:val="004457C0"/>
    <w:rsid w:val="00450D2B"/>
    <w:rsid w:val="00455F67"/>
    <w:rsid w:val="00456FCB"/>
    <w:rsid w:val="00467A62"/>
    <w:rsid w:val="0047182C"/>
    <w:rsid w:val="00471AA0"/>
    <w:rsid w:val="004738D9"/>
    <w:rsid w:val="0047443A"/>
    <w:rsid w:val="00480239"/>
    <w:rsid w:val="0048116B"/>
    <w:rsid w:val="0048282E"/>
    <w:rsid w:val="0048348F"/>
    <w:rsid w:val="004841C8"/>
    <w:rsid w:val="0048768A"/>
    <w:rsid w:val="004A44A9"/>
    <w:rsid w:val="004A6C96"/>
    <w:rsid w:val="004B0788"/>
    <w:rsid w:val="004B67B3"/>
    <w:rsid w:val="004B6909"/>
    <w:rsid w:val="004B7F10"/>
    <w:rsid w:val="004C4A1A"/>
    <w:rsid w:val="004D17F9"/>
    <w:rsid w:val="004D2D6F"/>
    <w:rsid w:val="004E0B2C"/>
    <w:rsid w:val="004E2D0D"/>
    <w:rsid w:val="004E4443"/>
    <w:rsid w:val="004E73FA"/>
    <w:rsid w:val="004E745D"/>
    <w:rsid w:val="004F034A"/>
    <w:rsid w:val="004F1DE8"/>
    <w:rsid w:val="004F7E17"/>
    <w:rsid w:val="00500059"/>
    <w:rsid w:val="00501615"/>
    <w:rsid w:val="00502CA9"/>
    <w:rsid w:val="00504AEE"/>
    <w:rsid w:val="0050732F"/>
    <w:rsid w:val="00507DCE"/>
    <w:rsid w:val="005163EA"/>
    <w:rsid w:val="005172BB"/>
    <w:rsid w:val="005179C1"/>
    <w:rsid w:val="00520FCD"/>
    <w:rsid w:val="00526188"/>
    <w:rsid w:val="00530114"/>
    <w:rsid w:val="005325A5"/>
    <w:rsid w:val="00542F34"/>
    <w:rsid w:val="00545ABA"/>
    <w:rsid w:val="00551CBA"/>
    <w:rsid w:val="00552522"/>
    <w:rsid w:val="00553B5F"/>
    <w:rsid w:val="00557B2E"/>
    <w:rsid w:val="00560E22"/>
    <w:rsid w:val="005633CA"/>
    <w:rsid w:val="005654DD"/>
    <w:rsid w:val="00592ACB"/>
    <w:rsid w:val="00592B06"/>
    <w:rsid w:val="005B049F"/>
    <w:rsid w:val="005B279A"/>
    <w:rsid w:val="005B2C09"/>
    <w:rsid w:val="005B3F5D"/>
    <w:rsid w:val="005C09B7"/>
    <w:rsid w:val="005D1FF3"/>
    <w:rsid w:val="005D2A00"/>
    <w:rsid w:val="005D543A"/>
    <w:rsid w:val="005D5E51"/>
    <w:rsid w:val="005D6B8F"/>
    <w:rsid w:val="005E4DE6"/>
    <w:rsid w:val="005F0674"/>
    <w:rsid w:val="005F6A87"/>
    <w:rsid w:val="005F6A8E"/>
    <w:rsid w:val="006015CC"/>
    <w:rsid w:val="0060448B"/>
    <w:rsid w:val="00612D22"/>
    <w:rsid w:val="0061379E"/>
    <w:rsid w:val="006172F0"/>
    <w:rsid w:val="00624D0A"/>
    <w:rsid w:val="00631DC7"/>
    <w:rsid w:val="00633B6B"/>
    <w:rsid w:val="00634D4A"/>
    <w:rsid w:val="00635B09"/>
    <w:rsid w:val="00642C83"/>
    <w:rsid w:val="006436A9"/>
    <w:rsid w:val="0064442D"/>
    <w:rsid w:val="00644B67"/>
    <w:rsid w:val="0065141D"/>
    <w:rsid w:val="006536C4"/>
    <w:rsid w:val="0065450E"/>
    <w:rsid w:val="00662131"/>
    <w:rsid w:val="006645BD"/>
    <w:rsid w:val="00667044"/>
    <w:rsid w:val="00667F0A"/>
    <w:rsid w:val="0067147E"/>
    <w:rsid w:val="0067197D"/>
    <w:rsid w:val="006719DE"/>
    <w:rsid w:val="0067625F"/>
    <w:rsid w:val="0068099E"/>
    <w:rsid w:val="006857FD"/>
    <w:rsid w:val="00686B87"/>
    <w:rsid w:val="00687D52"/>
    <w:rsid w:val="006916D5"/>
    <w:rsid w:val="006948B6"/>
    <w:rsid w:val="00695B15"/>
    <w:rsid w:val="006A1A8E"/>
    <w:rsid w:val="006A3D55"/>
    <w:rsid w:val="006A425C"/>
    <w:rsid w:val="006A450B"/>
    <w:rsid w:val="006A7472"/>
    <w:rsid w:val="006C16BF"/>
    <w:rsid w:val="006C372E"/>
    <w:rsid w:val="006C4DCE"/>
    <w:rsid w:val="006C7F31"/>
    <w:rsid w:val="006D0E79"/>
    <w:rsid w:val="006D243B"/>
    <w:rsid w:val="006D3A75"/>
    <w:rsid w:val="006D3D37"/>
    <w:rsid w:val="006D3EAB"/>
    <w:rsid w:val="006D571E"/>
    <w:rsid w:val="006D5949"/>
    <w:rsid w:val="006D70A4"/>
    <w:rsid w:val="006D7537"/>
    <w:rsid w:val="006E7701"/>
    <w:rsid w:val="006F29E4"/>
    <w:rsid w:val="00703091"/>
    <w:rsid w:val="00706FC4"/>
    <w:rsid w:val="00712A3B"/>
    <w:rsid w:val="00721BC6"/>
    <w:rsid w:val="007306A1"/>
    <w:rsid w:val="007359B1"/>
    <w:rsid w:val="007361AE"/>
    <w:rsid w:val="00741DAE"/>
    <w:rsid w:val="00742845"/>
    <w:rsid w:val="00743D05"/>
    <w:rsid w:val="007440BB"/>
    <w:rsid w:val="007509AC"/>
    <w:rsid w:val="00756BAE"/>
    <w:rsid w:val="00761D16"/>
    <w:rsid w:val="00763847"/>
    <w:rsid w:val="007743F7"/>
    <w:rsid w:val="007815FD"/>
    <w:rsid w:val="00781EF1"/>
    <w:rsid w:val="00782B19"/>
    <w:rsid w:val="00786783"/>
    <w:rsid w:val="00793C21"/>
    <w:rsid w:val="00794859"/>
    <w:rsid w:val="007979E6"/>
    <w:rsid w:val="007A3BB5"/>
    <w:rsid w:val="007A74CF"/>
    <w:rsid w:val="007C101A"/>
    <w:rsid w:val="007C3B93"/>
    <w:rsid w:val="007C3C5A"/>
    <w:rsid w:val="007C3D9F"/>
    <w:rsid w:val="007C48FC"/>
    <w:rsid w:val="007D4769"/>
    <w:rsid w:val="007D55BA"/>
    <w:rsid w:val="007D6D1F"/>
    <w:rsid w:val="007D71D0"/>
    <w:rsid w:val="007E04C9"/>
    <w:rsid w:val="007E1654"/>
    <w:rsid w:val="007E5DE5"/>
    <w:rsid w:val="007E6C20"/>
    <w:rsid w:val="007E7DB3"/>
    <w:rsid w:val="007F133C"/>
    <w:rsid w:val="007F24E2"/>
    <w:rsid w:val="007F2A2F"/>
    <w:rsid w:val="007F6C10"/>
    <w:rsid w:val="007F7359"/>
    <w:rsid w:val="007F751A"/>
    <w:rsid w:val="00804A26"/>
    <w:rsid w:val="00816EBA"/>
    <w:rsid w:val="00821252"/>
    <w:rsid w:val="008260BC"/>
    <w:rsid w:val="00840081"/>
    <w:rsid w:val="00851555"/>
    <w:rsid w:val="00851E29"/>
    <w:rsid w:val="00851F8E"/>
    <w:rsid w:val="00853F78"/>
    <w:rsid w:val="0085549A"/>
    <w:rsid w:val="008620D8"/>
    <w:rsid w:val="008657A6"/>
    <w:rsid w:val="00876F46"/>
    <w:rsid w:val="00884499"/>
    <w:rsid w:val="00885D5D"/>
    <w:rsid w:val="0088712B"/>
    <w:rsid w:val="0089252E"/>
    <w:rsid w:val="008977FE"/>
    <w:rsid w:val="008B27B3"/>
    <w:rsid w:val="008B482F"/>
    <w:rsid w:val="008B62EE"/>
    <w:rsid w:val="008C23A6"/>
    <w:rsid w:val="008D5872"/>
    <w:rsid w:val="008E1612"/>
    <w:rsid w:val="008E593F"/>
    <w:rsid w:val="008E771E"/>
    <w:rsid w:val="008F73DD"/>
    <w:rsid w:val="00900F32"/>
    <w:rsid w:val="009011D7"/>
    <w:rsid w:val="00910CB3"/>
    <w:rsid w:val="009149F0"/>
    <w:rsid w:val="00915DF5"/>
    <w:rsid w:val="00916FBD"/>
    <w:rsid w:val="00917BAB"/>
    <w:rsid w:val="009256A0"/>
    <w:rsid w:val="0092632B"/>
    <w:rsid w:val="0094250E"/>
    <w:rsid w:val="009432A2"/>
    <w:rsid w:val="009458FE"/>
    <w:rsid w:val="00951F83"/>
    <w:rsid w:val="00960FD1"/>
    <w:rsid w:val="00963455"/>
    <w:rsid w:val="0096372C"/>
    <w:rsid w:val="00965B6D"/>
    <w:rsid w:val="009672A8"/>
    <w:rsid w:val="00967461"/>
    <w:rsid w:val="00967583"/>
    <w:rsid w:val="00974200"/>
    <w:rsid w:val="00974F95"/>
    <w:rsid w:val="0098321E"/>
    <w:rsid w:val="00985A2C"/>
    <w:rsid w:val="00985EEF"/>
    <w:rsid w:val="00986E65"/>
    <w:rsid w:val="00990A82"/>
    <w:rsid w:val="0099659F"/>
    <w:rsid w:val="0099666E"/>
    <w:rsid w:val="009973D0"/>
    <w:rsid w:val="009A2BCF"/>
    <w:rsid w:val="009A5312"/>
    <w:rsid w:val="009A70F4"/>
    <w:rsid w:val="009B2460"/>
    <w:rsid w:val="009B3857"/>
    <w:rsid w:val="009B4ADF"/>
    <w:rsid w:val="009B743C"/>
    <w:rsid w:val="009C2054"/>
    <w:rsid w:val="009C3342"/>
    <w:rsid w:val="009C7A97"/>
    <w:rsid w:val="009D28E3"/>
    <w:rsid w:val="009D297D"/>
    <w:rsid w:val="009D2B9F"/>
    <w:rsid w:val="009E2331"/>
    <w:rsid w:val="009E33D8"/>
    <w:rsid w:val="009F38C5"/>
    <w:rsid w:val="009F43EE"/>
    <w:rsid w:val="009F4B72"/>
    <w:rsid w:val="00A05BDA"/>
    <w:rsid w:val="00A07434"/>
    <w:rsid w:val="00A15F62"/>
    <w:rsid w:val="00A20F5E"/>
    <w:rsid w:val="00A21BD6"/>
    <w:rsid w:val="00A260D8"/>
    <w:rsid w:val="00A276C7"/>
    <w:rsid w:val="00A27F73"/>
    <w:rsid w:val="00A30334"/>
    <w:rsid w:val="00A34B6D"/>
    <w:rsid w:val="00A351DF"/>
    <w:rsid w:val="00A35902"/>
    <w:rsid w:val="00A53307"/>
    <w:rsid w:val="00A63876"/>
    <w:rsid w:val="00A64096"/>
    <w:rsid w:val="00A71DDB"/>
    <w:rsid w:val="00A7417A"/>
    <w:rsid w:val="00A80BF0"/>
    <w:rsid w:val="00A83130"/>
    <w:rsid w:val="00A9059A"/>
    <w:rsid w:val="00A93853"/>
    <w:rsid w:val="00A95BC5"/>
    <w:rsid w:val="00AA231C"/>
    <w:rsid w:val="00AA7F0D"/>
    <w:rsid w:val="00AB1BC1"/>
    <w:rsid w:val="00AB35A9"/>
    <w:rsid w:val="00AB4B8A"/>
    <w:rsid w:val="00AC02F5"/>
    <w:rsid w:val="00AC19DB"/>
    <w:rsid w:val="00AC48C2"/>
    <w:rsid w:val="00AD1CAE"/>
    <w:rsid w:val="00AD2194"/>
    <w:rsid w:val="00AD2BCC"/>
    <w:rsid w:val="00AD38D3"/>
    <w:rsid w:val="00AE1AED"/>
    <w:rsid w:val="00AF0EFC"/>
    <w:rsid w:val="00AF333A"/>
    <w:rsid w:val="00AF397C"/>
    <w:rsid w:val="00AF5CFF"/>
    <w:rsid w:val="00AF632B"/>
    <w:rsid w:val="00B02760"/>
    <w:rsid w:val="00B03D81"/>
    <w:rsid w:val="00B04972"/>
    <w:rsid w:val="00B052DE"/>
    <w:rsid w:val="00B05F5F"/>
    <w:rsid w:val="00B07F0B"/>
    <w:rsid w:val="00B13A45"/>
    <w:rsid w:val="00B267C0"/>
    <w:rsid w:val="00B270C7"/>
    <w:rsid w:val="00B30B94"/>
    <w:rsid w:val="00B363E0"/>
    <w:rsid w:val="00B40E7F"/>
    <w:rsid w:val="00B451B8"/>
    <w:rsid w:val="00B4787B"/>
    <w:rsid w:val="00B47D4B"/>
    <w:rsid w:val="00B47D5E"/>
    <w:rsid w:val="00B52B40"/>
    <w:rsid w:val="00B53CFE"/>
    <w:rsid w:val="00B637CD"/>
    <w:rsid w:val="00B645C3"/>
    <w:rsid w:val="00B7215D"/>
    <w:rsid w:val="00B8477D"/>
    <w:rsid w:val="00B903F9"/>
    <w:rsid w:val="00B90A47"/>
    <w:rsid w:val="00B91820"/>
    <w:rsid w:val="00B9424A"/>
    <w:rsid w:val="00B95220"/>
    <w:rsid w:val="00B96D83"/>
    <w:rsid w:val="00BA7990"/>
    <w:rsid w:val="00BC1094"/>
    <w:rsid w:val="00BC1E5A"/>
    <w:rsid w:val="00BC2F87"/>
    <w:rsid w:val="00BD7C77"/>
    <w:rsid w:val="00BE26E6"/>
    <w:rsid w:val="00BE4CF0"/>
    <w:rsid w:val="00BE4D7E"/>
    <w:rsid w:val="00BE6E1B"/>
    <w:rsid w:val="00BF258C"/>
    <w:rsid w:val="00BF5E49"/>
    <w:rsid w:val="00C033BB"/>
    <w:rsid w:val="00C069EA"/>
    <w:rsid w:val="00C14EDD"/>
    <w:rsid w:val="00C3203D"/>
    <w:rsid w:val="00C3650F"/>
    <w:rsid w:val="00C40F60"/>
    <w:rsid w:val="00C52FEA"/>
    <w:rsid w:val="00C554A4"/>
    <w:rsid w:val="00C60DE4"/>
    <w:rsid w:val="00C64354"/>
    <w:rsid w:val="00C65CA3"/>
    <w:rsid w:val="00C67573"/>
    <w:rsid w:val="00C83708"/>
    <w:rsid w:val="00C83C3A"/>
    <w:rsid w:val="00C86B70"/>
    <w:rsid w:val="00C902C0"/>
    <w:rsid w:val="00CA3807"/>
    <w:rsid w:val="00CA489A"/>
    <w:rsid w:val="00CA69E1"/>
    <w:rsid w:val="00CA7DD5"/>
    <w:rsid w:val="00CB0782"/>
    <w:rsid w:val="00CB7347"/>
    <w:rsid w:val="00CC1A20"/>
    <w:rsid w:val="00CC4E9A"/>
    <w:rsid w:val="00CC52BC"/>
    <w:rsid w:val="00CD11C7"/>
    <w:rsid w:val="00CD1632"/>
    <w:rsid w:val="00CD596F"/>
    <w:rsid w:val="00CE233C"/>
    <w:rsid w:val="00CE2510"/>
    <w:rsid w:val="00CF0E73"/>
    <w:rsid w:val="00CF1B3F"/>
    <w:rsid w:val="00CF2BDF"/>
    <w:rsid w:val="00CF3B8D"/>
    <w:rsid w:val="00CF4670"/>
    <w:rsid w:val="00CF625B"/>
    <w:rsid w:val="00CF7839"/>
    <w:rsid w:val="00D003D6"/>
    <w:rsid w:val="00D0184E"/>
    <w:rsid w:val="00D05BC2"/>
    <w:rsid w:val="00D074C2"/>
    <w:rsid w:val="00D23CC5"/>
    <w:rsid w:val="00D2425A"/>
    <w:rsid w:val="00D30377"/>
    <w:rsid w:val="00D31F23"/>
    <w:rsid w:val="00D34873"/>
    <w:rsid w:val="00D34F04"/>
    <w:rsid w:val="00D36F1F"/>
    <w:rsid w:val="00D37057"/>
    <w:rsid w:val="00D3736A"/>
    <w:rsid w:val="00D42439"/>
    <w:rsid w:val="00D46431"/>
    <w:rsid w:val="00D522FE"/>
    <w:rsid w:val="00D5771F"/>
    <w:rsid w:val="00D61511"/>
    <w:rsid w:val="00D634C5"/>
    <w:rsid w:val="00D6602D"/>
    <w:rsid w:val="00D67E8A"/>
    <w:rsid w:val="00D73100"/>
    <w:rsid w:val="00D75795"/>
    <w:rsid w:val="00D84719"/>
    <w:rsid w:val="00D876B0"/>
    <w:rsid w:val="00DA0E45"/>
    <w:rsid w:val="00DA3C92"/>
    <w:rsid w:val="00DC00BB"/>
    <w:rsid w:val="00DC39A9"/>
    <w:rsid w:val="00DC5239"/>
    <w:rsid w:val="00DC6E48"/>
    <w:rsid w:val="00DC7393"/>
    <w:rsid w:val="00DC74B4"/>
    <w:rsid w:val="00DD023A"/>
    <w:rsid w:val="00DD657D"/>
    <w:rsid w:val="00DD79CB"/>
    <w:rsid w:val="00DD7DA7"/>
    <w:rsid w:val="00DE3866"/>
    <w:rsid w:val="00DE6289"/>
    <w:rsid w:val="00DE657C"/>
    <w:rsid w:val="00DE6886"/>
    <w:rsid w:val="00E0097A"/>
    <w:rsid w:val="00E01443"/>
    <w:rsid w:val="00E1038E"/>
    <w:rsid w:val="00E162EE"/>
    <w:rsid w:val="00E32D68"/>
    <w:rsid w:val="00E3635D"/>
    <w:rsid w:val="00E456E2"/>
    <w:rsid w:val="00E535A1"/>
    <w:rsid w:val="00E53C39"/>
    <w:rsid w:val="00E6576C"/>
    <w:rsid w:val="00E84AE9"/>
    <w:rsid w:val="00E8756B"/>
    <w:rsid w:val="00E87B24"/>
    <w:rsid w:val="00E906D9"/>
    <w:rsid w:val="00E93D96"/>
    <w:rsid w:val="00EA0BE6"/>
    <w:rsid w:val="00EA1324"/>
    <w:rsid w:val="00EA22A2"/>
    <w:rsid w:val="00EB719A"/>
    <w:rsid w:val="00ED16E8"/>
    <w:rsid w:val="00EE35CF"/>
    <w:rsid w:val="00EE571D"/>
    <w:rsid w:val="00EE73F3"/>
    <w:rsid w:val="00EF054E"/>
    <w:rsid w:val="00EF158D"/>
    <w:rsid w:val="00EF1B44"/>
    <w:rsid w:val="00F00C8C"/>
    <w:rsid w:val="00F0172B"/>
    <w:rsid w:val="00F075F7"/>
    <w:rsid w:val="00F07DC4"/>
    <w:rsid w:val="00F104F7"/>
    <w:rsid w:val="00F11371"/>
    <w:rsid w:val="00F13697"/>
    <w:rsid w:val="00F16C6D"/>
    <w:rsid w:val="00F2073B"/>
    <w:rsid w:val="00F22546"/>
    <w:rsid w:val="00F26F75"/>
    <w:rsid w:val="00F278E0"/>
    <w:rsid w:val="00F27D35"/>
    <w:rsid w:val="00F321D8"/>
    <w:rsid w:val="00F37E6E"/>
    <w:rsid w:val="00F44DBD"/>
    <w:rsid w:val="00F51653"/>
    <w:rsid w:val="00F53EC2"/>
    <w:rsid w:val="00F53FE7"/>
    <w:rsid w:val="00F55AD7"/>
    <w:rsid w:val="00F63F1F"/>
    <w:rsid w:val="00F665A7"/>
    <w:rsid w:val="00F700D6"/>
    <w:rsid w:val="00F72A40"/>
    <w:rsid w:val="00F7461A"/>
    <w:rsid w:val="00F75A8E"/>
    <w:rsid w:val="00F814D8"/>
    <w:rsid w:val="00F83F54"/>
    <w:rsid w:val="00F874B2"/>
    <w:rsid w:val="00F92F42"/>
    <w:rsid w:val="00FA2BC0"/>
    <w:rsid w:val="00FA4246"/>
    <w:rsid w:val="00FC463C"/>
    <w:rsid w:val="00FD1AFA"/>
    <w:rsid w:val="00FD2EBB"/>
    <w:rsid w:val="00FD3953"/>
    <w:rsid w:val="00FD453E"/>
    <w:rsid w:val="00FD4D72"/>
    <w:rsid w:val="00FD6861"/>
    <w:rsid w:val="00FD7A2D"/>
    <w:rsid w:val="00FE00D4"/>
    <w:rsid w:val="00FE30A2"/>
    <w:rsid w:val="00FE3973"/>
    <w:rsid w:val="00FF2D2D"/>
    <w:rsid w:val="00FF4283"/>
    <w:rsid w:val="00FF63D5"/>
    <w:rsid w:val="2412141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736246"/>
  <w15:docId w15:val="{8DC2D321-4F02-46E2-86E7-84D94541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A9"/>
    <w:rPr>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rPr>
      <w:sz w:val="20"/>
      <w:szCs w:val="20"/>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basedOn w:val="a"/>
    <w:link w:val="a8"/>
    <w:uiPriority w:val="99"/>
    <w:unhideWhenUsed/>
    <w:pPr>
      <w:tabs>
        <w:tab w:val="center" w:pos="4513"/>
        <w:tab w:val="right" w:pos="9026"/>
      </w:tabs>
      <w:spacing w:after="0" w:line="240" w:lineRule="auto"/>
    </w:pPr>
  </w:style>
  <w:style w:type="paragraph" w:styleId="a9">
    <w:name w:val="footnote text"/>
    <w:basedOn w:val="a"/>
    <w:link w:val="aa"/>
    <w:uiPriority w:val="99"/>
    <w:unhideWhenUsed/>
    <w:qFormat/>
    <w:pPr>
      <w:snapToGrid w:val="0"/>
    </w:pPr>
    <w:rPr>
      <w:sz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rPr>
      <w:sz w:val="16"/>
      <w:szCs w:val="16"/>
    </w:rPr>
  </w:style>
  <w:style w:type="character" w:styleId="af">
    <w:name w:val="footnote reference"/>
    <w:basedOn w:val="a0"/>
    <w:unhideWhenUsed/>
    <w:qFormat/>
    <w:rPr>
      <w:vertAlign w:val="superscript"/>
    </w:rPr>
  </w:style>
  <w:style w:type="character" w:customStyle="1" w:styleId="a8">
    <w:name w:val="页眉 字符"/>
    <w:basedOn w:val="a0"/>
    <w:link w:val="a7"/>
    <w:uiPriority w:val="99"/>
  </w:style>
  <w:style w:type="character" w:customStyle="1" w:styleId="a6">
    <w:name w:val="页脚 字符"/>
    <w:basedOn w:val="a0"/>
    <w:link w:val="a5"/>
    <w:uiPriority w:val="99"/>
  </w:style>
  <w:style w:type="paragraph" w:styleId="af0">
    <w:name w:val="List Paragraph"/>
    <w:basedOn w:val="a"/>
    <w:uiPriority w:val="34"/>
    <w:qFormat/>
    <w:pPr>
      <w:ind w:left="720"/>
      <w:contextualSpacing/>
    </w:pPr>
  </w:style>
  <w:style w:type="character" w:customStyle="1" w:styleId="a4">
    <w:name w:val="批注文字 字符"/>
    <w:basedOn w:val="a0"/>
    <w:link w:val="a3"/>
    <w:uiPriority w:val="99"/>
    <w:semiHidden/>
    <w:rPr>
      <w:sz w:val="20"/>
      <w:szCs w:val="20"/>
    </w:rPr>
  </w:style>
  <w:style w:type="character" w:customStyle="1" w:styleId="ac">
    <w:name w:val="批注主题 字符"/>
    <w:basedOn w:val="a4"/>
    <w:link w:val="ab"/>
    <w:uiPriority w:val="99"/>
    <w:semiHidden/>
    <w:rPr>
      <w:b/>
      <w:bCs/>
      <w:sz w:val="20"/>
      <w:szCs w:val="20"/>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Revision"/>
    <w:hidden/>
    <w:uiPriority w:val="99"/>
    <w:semiHidden/>
    <w:rsid w:val="00CF4670"/>
    <w:pPr>
      <w:spacing w:after="0" w:line="240" w:lineRule="auto"/>
    </w:pPr>
    <w:rPr>
      <w:sz w:val="22"/>
      <w:szCs w:val="22"/>
      <w:lang w:val="zh-CN"/>
    </w:rPr>
  </w:style>
  <w:style w:type="character" w:customStyle="1" w:styleId="aa">
    <w:name w:val="脚注文本 字符"/>
    <w:link w:val="a9"/>
    <w:uiPriority w:val="99"/>
    <w:qFormat/>
    <w:rsid w:val="00CF4670"/>
    <w:rPr>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7460">
      <w:bodyDiv w:val="1"/>
      <w:marLeft w:val="0"/>
      <w:marRight w:val="0"/>
      <w:marTop w:val="0"/>
      <w:marBottom w:val="0"/>
      <w:divBdr>
        <w:top w:val="none" w:sz="0" w:space="0" w:color="auto"/>
        <w:left w:val="none" w:sz="0" w:space="0" w:color="auto"/>
        <w:bottom w:val="none" w:sz="0" w:space="0" w:color="auto"/>
        <w:right w:val="none" w:sz="0" w:space="0" w:color="auto"/>
      </w:divBdr>
    </w:div>
    <w:div w:id="512652224">
      <w:bodyDiv w:val="1"/>
      <w:marLeft w:val="0"/>
      <w:marRight w:val="0"/>
      <w:marTop w:val="0"/>
      <w:marBottom w:val="0"/>
      <w:divBdr>
        <w:top w:val="none" w:sz="0" w:space="0" w:color="auto"/>
        <w:left w:val="none" w:sz="0" w:space="0" w:color="auto"/>
        <w:bottom w:val="none" w:sz="0" w:space="0" w:color="auto"/>
        <w:right w:val="none" w:sz="0" w:space="0" w:color="auto"/>
      </w:divBdr>
    </w:div>
    <w:div w:id="961034950">
      <w:bodyDiv w:val="1"/>
      <w:marLeft w:val="0"/>
      <w:marRight w:val="0"/>
      <w:marTop w:val="0"/>
      <w:marBottom w:val="0"/>
      <w:divBdr>
        <w:top w:val="none" w:sz="0" w:space="0" w:color="auto"/>
        <w:left w:val="none" w:sz="0" w:space="0" w:color="auto"/>
        <w:bottom w:val="none" w:sz="0" w:space="0" w:color="auto"/>
        <w:right w:val="none" w:sz="0" w:space="0" w:color="auto"/>
      </w:divBdr>
      <w:divsChild>
        <w:div w:id="774792030">
          <w:marLeft w:val="461"/>
          <w:marRight w:val="0"/>
          <w:marTop w:val="0"/>
          <w:marBottom w:val="0"/>
          <w:divBdr>
            <w:top w:val="none" w:sz="0" w:space="0" w:color="auto"/>
            <w:left w:val="none" w:sz="0" w:space="0" w:color="auto"/>
            <w:bottom w:val="none" w:sz="0" w:space="0" w:color="auto"/>
            <w:right w:val="none" w:sz="0" w:space="0" w:color="auto"/>
          </w:divBdr>
        </w:div>
      </w:divsChild>
    </w:div>
    <w:div w:id="1015569842">
      <w:bodyDiv w:val="1"/>
      <w:marLeft w:val="0"/>
      <w:marRight w:val="0"/>
      <w:marTop w:val="0"/>
      <w:marBottom w:val="0"/>
      <w:divBdr>
        <w:top w:val="none" w:sz="0" w:space="0" w:color="auto"/>
        <w:left w:val="none" w:sz="0" w:space="0" w:color="auto"/>
        <w:bottom w:val="none" w:sz="0" w:space="0" w:color="auto"/>
        <w:right w:val="none" w:sz="0" w:space="0" w:color="auto"/>
      </w:divBdr>
    </w:div>
    <w:div w:id="1062292436">
      <w:bodyDiv w:val="1"/>
      <w:marLeft w:val="0"/>
      <w:marRight w:val="0"/>
      <w:marTop w:val="0"/>
      <w:marBottom w:val="0"/>
      <w:divBdr>
        <w:top w:val="none" w:sz="0" w:space="0" w:color="auto"/>
        <w:left w:val="none" w:sz="0" w:space="0" w:color="auto"/>
        <w:bottom w:val="none" w:sz="0" w:space="0" w:color="auto"/>
        <w:right w:val="none" w:sz="0" w:space="0" w:color="auto"/>
      </w:divBdr>
    </w:div>
    <w:div w:id="1616054468">
      <w:bodyDiv w:val="1"/>
      <w:marLeft w:val="0"/>
      <w:marRight w:val="0"/>
      <w:marTop w:val="0"/>
      <w:marBottom w:val="0"/>
      <w:divBdr>
        <w:top w:val="none" w:sz="0" w:space="0" w:color="auto"/>
        <w:left w:val="none" w:sz="0" w:space="0" w:color="auto"/>
        <w:bottom w:val="none" w:sz="0" w:space="0" w:color="auto"/>
        <w:right w:val="none" w:sz="0" w:space="0" w:color="auto"/>
      </w:divBdr>
      <w:divsChild>
        <w:div w:id="470562215">
          <w:marLeft w:val="46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BDB56-C3E8-4BD2-8900-C5F6356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Wang</cp:lastModifiedBy>
  <cp:revision>5</cp:revision>
  <dcterms:created xsi:type="dcterms:W3CDTF">2023-08-25T06:51:00Z</dcterms:created>
  <dcterms:modified xsi:type="dcterms:W3CDTF">2023-08-25T07:23:00Z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